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8321" w14:textId="4AC1F1BA" w:rsidR="00B92A85" w:rsidRPr="00865D61" w:rsidRDefault="00B92A85" w:rsidP="00B92A85">
      <w:pPr>
        <w:spacing w:after="0" w:line="240" w:lineRule="auto"/>
        <w:jc w:val="both"/>
        <w:rPr>
          <w:rFonts w:ascii="Times New Roman" w:eastAsia="Times New Roman" w:hAnsi="Times New Roman" w:cs="Times New Roman"/>
          <w:sz w:val="24"/>
          <w:szCs w:val="24"/>
        </w:rPr>
      </w:pPr>
    </w:p>
    <w:p w14:paraId="0D634E5B" w14:textId="77777777" w:rsidR="00973F0F" w:rsidRPr="00865D61" w:rsidRDefault="00973F0F" w:rsidP="00B92A85">
      <w:pPr>
        <w:spacing w:after="0" w:line="240" w:lineRule="auto"/>
        <w:jc w:val="both"/>
        <w:rPr>
          <w:rFonts w:ascii="Times New Roman" w:eastAsia="Times New Roman" w:hAnsi="Times New Roman" w:cs="Times New Roman"/>
          <w:sz w:val="24"/>
          <w:szCs w:val="24"/>
        </w:rPr>
      </w:pPr>
    </w:p>
    <w:p w14:paraId="38DF7C65" w14:textId="010D42F9" w:rsidR="00117D9A" w:rsidRPr="00865D61" w:rsidRDefault="00117D9A" w:rsidP="00117D9A">
      <w:pPr>
        <w:spacing w:after="0" w:line="240" w:lineRule="auto"/>
        <w:jc w:val="both"/>
        <w:rPr>
          <w:rFonts w:ascii="Times New Roman" w:eastAsia="Times New Roman" w:hAnsi="Times New Roman" w:cs="Times New Roman"/>
          <w:sz w:val="24"/>
          <w:szCs w:val="24"/>
        </w:rPr>
      </w:pPr>
      <w:r w:rsidRPr="00865D61">
        <w:rPr>
          <w:rFonts w:ascii="Times New Roman" w:eastAsia="Times New Roman" w:hAnsi="Times New Roman" w:cs="Times New Roman"/>
          <w:sz w:val="24"/>
          <w:szCs w:val="24"/>
        </w:rPr>
        <w:t xml:space="preserve">Date: </w:t>
      </w:r>
      <w:r w:rsidR="00F9317F" w:rsidRPr="00865D61">
        <w:rPr>
          <w:rFonts w:ascii="Times New Roman" w:eastAsia="Times New Roman" w:hAnsi="Times New Roman" w:cs="Times New Roman"/>
          <w:sz w:val="24"/>
          <w:szCs w:val="24"/>
        </w:rPr>
        <w:t>June</w:t>
      </w:r>
      <w:r w:rsidR="00E21032" w:rsidRPr="00865D61">
        <w:rPr>
          <w:rFonts w:ascii="Times New Roman" w:eastAsia="Times New Roman" w:hAnsi="Times New Roman" w:cs="Times New Roman"/>
          <w:sz w:val="24"/>
          <w:szCs w:val="24"/>
        </w:rPr>
        <w:t xml:space="preserve">, </w:t>
      </w:r>
      <w:r w:rsidR="00F9317F" w:rsidRPr="00865D61">
        <w:rPr>
          <w:rFonts w:ascii="Times New Roman" w:eastAsia="Times New Roman" w:hAnsi="Times New Roman" w:cs="Times New Roman"/>
          <w:sz w:val="24"/>
          <w:szCs w:val="24"/>
        </w:rPr>
        <w:t>3</w:t>
      </w:r>
      <w:r w:rsidR="00E21032" w:rsidRPr="00865D61">
        <w:rPr>
          <w:rFonts w:ascii="Times New Roman" w:eastAsia="Times New Roman" w:hAnsi="Times New Roman" w:cs="Times New Roman"/>
          <w:sz w:val="24"/>
          <w:szCs w:val="24"/>
        </w:rPr>
        <w:t>, 2021</w:t>
      </w:r>
    </w:p>
    <w:p w14:paraId="0243720F" w14:textId="77777777" w:rsidR="0049333B" w:rsidRPr="00865D61" w:rsidRDefault="0049333B" w:rsidP="00117D9A">
      <w:pPr>
        <w:spacing w:after="0" w:line="240" w:lineRule="auto"/>
        <w:jc w:val="both"/>
        <w:rPr>
          <w:rFonts w:ascii="Times New Roman" w:eastAsia="Times New Roman" w:hAnsi="Times New Roman" w:cs="Times New Roman"/>
          <w:sz w:val="24"/>
          <w:szCs w:val="24"/>
        </w:rPr>
      </w:pPr>
    </w:p>
    <w:p w14:paraId="5C6F1B79" w14:textId="0287B8E3" w:rsidR="00117D9A" w:rsidRPr="00865D61" w:rsidRDefault="00B92A85" w:rsidP="00117D9A">
      <w:pPr>
        <w:spacing w:after="0" w:line="240" w:lineRule="auto"/>
        <w:jc w:val="both"/>
        <w:rPr>
          <w:rFonts w:ascii="Times New Roman" w:eastAsia="Times New Roman" w:hAnsi="Times New Roman" w:cs="Times New Roman"/>
          <w:sz w:val="24"/>
          <w:szCs w:val="24"/>
        </w:rPr>
      </w:pPr>
      <w:r w:rsidRPr="00865D61">
        <w:rPr>
          <w:rFonts w:ascii="Times New Roman" w:eastAsia="Times New Roman" w:hAnsi="Times New Roman" w:cs="Times New Roman"/>
          <w:sz w:val="24"/>
          <w:szCs w:val="24"/>
        </w:rPr>
        <w:t xml:space="preserve">To </w:t>
      </w:r>
      <w:r w:rsidR="00E32815">
        <w:rPr>
          <w:rFonts w:ascii="Times New Roman" w:eastAsia="Times New Roman" w:hAnsi="Times New Roman" w:cs="Times New Roman"/>
          <w:sz w:val="24"/>
          <w:szCs w:val="24"/>
        </w:rPr>
        <w:t xml:space="preserve">Dr. </w:t>
      </w:r>
      <w:proofErr w:type="spellStart"/>
      <w:r w:rsidR="00E32815">
        <w:rPr>
          <w:rFonts w:ascii="Times New Roman" w:eastAsia="Times New Roman" w:hAnsi="Times New Roman" w:cs="Times New Roman"/>
          <w:sz w:val="24"/>
          <w:szCs w:val="24"/>
        </w:rPr>
        <w:t>xxxxx</w:t>
      </w:r>
      <w:proofErr w:type="spellEnd"/>
      <w:r w:rsidRPr="00865D61">
        <w:rPr>
          <w:rFonts w:ascii="Times New Roman" w:eastAsia="Times New Roman" w:hAnsi="Times New Roman" w:cs="Times New Roman"/>
          <w:sz w:val="24"/>
          <w:szCs w:val="24"/>
        </w:rPr>
        <w:t>:</w:t>
      </w:r>
    </w:p>
    <w:p w14:paraId="6580CDD1" w14:textId="77777777" w:rsidR="00434CDD" w:rsidRPr="00865D61" w:rsidRDefault="00434CDD" w:rsidP="00117D9A">
      <w:pPr>
        <w:spacing w:after="0" w:line="240" w:lineRule="auto"/>
        <w:jc w:val="both"/>
        <w:rPr>
          <w:rFonts w:ascii="Times New Roman" w:eastAsia="Times New Roman" w:hAnsi="Times New Roman" w:cs="Times New Roman"/>
          <w:sz w:val="24"/>
          <w:szCs w:val="24"/>
        </w:rPr>
      </w:pPr>
    </w:p>
    <w:p w14:paraId="5131932F" w14:textId="0703CF7B" w:rsidR="0049333B" w:rsidRPr="00865D61" w:rsidRDefault="0049333B" w:rsidP="00434CDD">
      <w:pPr>
        <w:spacing w:before="100" w:beforeAutospacing="1" w:after="100" w:afterAutospacing="1" w:line="240" w:lineRule="auto"/>
        <w:ind w:firstLine="720"/>
        <w:jc w:val="both"/>
        <w:rPr>
          <w:rFonts w:ascii="Times New Roman" w:eastAsia="Times New Roman" w:hAnsi="Times New Roman" w:cs="Times New Roman"/>
          <w:sz w:val="24"/>
          <w:szCs w:val="24"/>
        </w:rPr>
      </w:pPr>
      <w:r w:rsidRPr="00865D61">
        <w:rPr>
          <w:rFonts w:ascii="Times New Roman" w:eastAsia="Times New Roman" w:hAnsi="Times New Roman" w:cs="Times New Roman"/>
          <w:sz w:val="24"/>
          <w:szCs w:val="24"/>
        </w:rPr>
        <w:t xml:space="preserve">I have been a patient of yours since 2004 and I have diabetic retinopathy and an </w:t>
      </w:r>
      <w:r w:rsidR="00865D61" w:rsidRPr="00865D61">
        <w:rPr>
          <w:rFonts w:ascii="Times New Roman" w:eastAsia="Times New Roman" w:hAnsi="Times New Roman" w:cs="Times New Roman"/>
          <w:sz w:val="24"/>
          <w:szCs w:val="24"/>
        </w:rPr>
        <w:t>intraocular</w:t>
      </w:r>
      <w:r w:rsidRPr="00865D61">
        <w:rPr>
          <w:rFonts w:ascii="Times New Roman" w:eastAsia="Times New Roman" w:hAnsi="Times New Roman" w:cs="Times New Roman"/>
          <w:sz w:val="24"/>
          <w:szCs w:val="24"/>
        </w:rPr>
        <w:t xml:space="preserve"> lens that you placed in my eye. </w:t>
      </w:r>
      <w:r w:rsidR="00F9317F" w:rsidRPr="00865D61">
        <w:rPr>
          <w:rFonts w:ascii="Times New Roman" w:eastAsia="Times New Roman" w:hAnsi="Times New Roman" w:cs="Times New Roman"/>
          <w:sz w:val="24"/>
          <w:szCs w:val="24"/>
        </w:rPr>
        <w:t>I am</w:t>
      </w:r>
      <w:r w:rsidR="00FB0A50" w:rsidRPr="00865D61">
        <w:rPr>
          <w:rFonts w:ascii="Times New Roman" w:eastAsia="Times New Roman" w:hAnsi="Times New Roman" w:cs="Times New Roman"/>
          <w:sz w:val="24"/>
          <w:szCs w:val="24"/>
        </w:rPr>
        <w:t xml:space="preserve"> sending you this notice,</w:t>
      </w:r>
      <w:r w:rsidR="00B92A85" w:rsidRPr="00865D61">
        <w:rPr>
          <w:rFonts w:ascii="Times New Roman" w:eastAsia="Times New Roman" w:hAnsi="Times New Roman" w:cs="Times New Roman"/>
          <w:sz w:val="24"/>
          <w:szCs w:val="24"/>
        </w:rPr>
        <w:t xml:space="preserve"> </w:t>
      </w:r>
      <w:r w:rsidR="00E233D2" w:rsidRPr="00865D61">
        <w:rPr>
          <w:rFonts w:ascii="Times New Roman" w:eastAsia="Times New Roman" w:hAnsi="Times New Roman" w:cs="Times New Roman"/>
          <w:sz w:val="24"/>
          <w:szCs w:val="24"/>
        </w:rPr>
        <w:t xml:space="preserve">related to </w:t>
      </w:r>
      <w:r w:rsidR="00F9317F" w:rsidRPr="00865D61">
        <w:rPr>
          <w:rFonts w:ascii="Times New Roman" w:eastAsia="Times New Roman" w:hAnsi="Times New Roman" w:cs="Times New Roman"/>
          <w:sz w:val="24"/>
          <w:szCs w:val="24"/>
        </w:rPr>
        <w:t>Tyson Eye’s</w:t>
      </w:r>
      <w:r w:rsidR="00E233D2" w:rsidRPr="00865D61">
        <w:rPr>
          <w:rFonts w:ascii="Times New Roman" w:eastAsia="Times New Roman" w:hAnsi="Times New Roman" w:cs="Times New Roman"/>
          <w:sz w:val="24"/>
          <w:szCs w:val="24"/>
        </w:rPr>
        <w:t xml:space="preserve"> mask policy</w:t>
      </w:r>
      <w:r w:rsidR="00EA21CD" w:rsidRPr="00865D61">
        <w:rPr>
          <w:rFonts w:ascii="Times New Roman" w:eastAsia="Times New Roman" w:hAnsi="Times New Roman" w:cs="Times New Roman"/>
          <w:sz w:val="24"/>
          <w:szCs w:val="24"/>
        </w:rPr>
        <w:t xml:space="preserve">. </w:t>
      </w:r>
      <w:r w:rsidRPr="00865D61">
        <w:rPr>
          <w:rFonts w:ascii="Times New Roman" w:eastAsia="Times New Roman" w:hAnsi="Times New Roman" w:cs="Times New Roman"/>
          <w:sz w:val="24"/>
          <w:szCs w:val="24"/>
        </w:rPr>
        <w:t xml:space="preserve">I can not safely wear a mask and your office needs to accommodate me. I am willing to come in early or late if necessary. Your operations manager absolutely refused to accommodate me and was unwilling to entertain scientific data that your policy may cause harm which in addition to violating the Hippocratic oath may constitute malpractice. Again, I am not seeking to dictate your company policy, I am simply seeking an accommodation as I do not want to place myself at risk and </w:t>
      </w:r>
      <w:r w:rsidR="00BB314D" w:rsidRPr="00865D61">
        <w:rPr>
          <w:rFonts w:ascii="Times New Roman" w:eastAsia="Times New Roman" w:hAnsi="Times New Roman" w:cs="Times New Roman"/>
          <w:sz w:val="24"/>
          <w:szCs w:val="24"/>
        </w:rPr>
        <w:t xml:space="preserve">will not adhere to </w:t>
      </w:r>
      <w:r w:rsidRPr="00865D61">
        <w:rPr>
          <w:rFonts w:ascii="Times New Roman" w:eastAsia="Times New Roman" w:hAnsi="Times New Roman" w:cs="Times New Roman"/>
          <w:sz w:val="24"/>
          <w:szCs w:val="24"/>
        </w:rPr>
        <w:t xml:space="preserve">the symbolic speech of wearing a face mask </w:t>
      </w:r>
      <w:r w:rsidR="00BB314D" w:rsidRPr="00865D61">
        <w:rPr>
          <w:rFonts w:ascii="Times New Roman" w:eastAsia="Times New Roman" w:hAnsi="Times New Roman" w:cs="Times New Roman"/>
          <w:sz w:val="24"/>
          <w:szCs w:val="24"/>
        </w:rPr>
        <w:t>as</w:t>
      </w:r>
      <w:r w:rsidRPr="00865D61">
        <w:rPr>
          <w:rFonts w:ascii="Times New Roman" w:eastAsia="Times New Roman" w:hAnsi="Times New Roman" w:cs="Times New Roman"/>
          <w:sz w:val="24"/>
          <w:szCs w:val="24"/>
        </w:rPr>
        <w:t xml:space="preserve"> a requirement for </w:t>
      </w:r>
      <w:r w:rsidR="00BB314D" w:rsidRPr="00865D61">
        <w:rPr>
          <w:rFonts w:ascii="Times New Roman" w:eastAsia="Times New Roman" w:hAnsi="Times New Roman" w:cs="Times New Roman"/>
          <w:sz w:val="24"/>
          <w:szCs w:val="24"/>
        </w:rPr>
        <w:t xml:space="preserve">essential </w:t>
      </w:r>
      <w:r w:rsidRPr="00865D61">
        <w:rPr>
          <w:rFonts w:ascii="Times New Roman" w:eastAsia="Times New Roman" w:hAnsi="Times New Roman" w:cs="Times New Roman"/>
          <w:sz w:val="24"/>
          <w:szCs w:val="24"/>
        </w:rPr>
        <w:t xml:space="preserve">medical care. </w:t>
      </w:r>
      <w:r w:rsidR="00865D61" w:rsidRPr="00865D61">
        <w:rPr>
          <w:rFonts w:ascii="Times New Roman" w:eastAsia="Times New Roman" w:hAnsi="Times New Roman" w:cs="Times New Roman"/>
          <w:sz w:val="24"/>
          <w:szCs w:val="24"/>
        </w:rPr>
        <w:t>I think that such a requirement falls short of professional medical conduct.</w:t>
      </w:r>
      <w:r w:rsidRPr="00865D61">
        <w:rPr>
          <w:rFonts w:ascii="Times New Roman" w:eastAsia="Times New Roman" w:hAnsi="Times New Roman" w:cs="Times New Roman"/>
          <w:sz w:val="24"/>
          <w:szCs w:val="24"/>
        </w:rPr>
        <w:t xml:space="preserve"> </w:t>
      </w:r>
    </w:p>
    <w:p w14:paraId="47CC4573" w14:textId="059DFED5" w:rsidR="00434CDD" w:rsidRPr="00865D61" w:rsidRDefault="00EA21CD" w:rsidP="00434CDD">
      <w:pPr>
        <w:spacing w:before="100" w:beforeAutospacing="1" w:after="100" w:afterAutospacing="1" w:line="240" w:lineRule="auto"/>
        <w:ind w:firstLine="720"/>
        <w:jc w:val="both"/>
        <w:rPr>
          <w:rFonts w:ascii="Times New Roman" w:eastAsia="Times New Roman" w:hAnsi="Times New Roman" w:cs="Times New Roman"/>
          <w:sz w:val="24"/>
          <w:szCs w:val="24"/>
        </w:rPr>
      </w:pPr>
      <w:r w:rsidRPr="00865D61">
        <w:rPr>
          <w:rFonts w:ascii="Times New Roman" w:eastAsia="Times New Roman" w:hAnsi="Times New Roman" w:cs="Times New Roman"/>
          <w:sz w:val="24"/>
          <w:szCs w:val="24"/>
        </w:rPr>
        <w:t>My</w:t>
      </w:r>
      <w:r w:rsidR="00B92A85" w:rsidRPr="00865D61">
        <w:rPr>
          <w:rFonts w:ascii="Times New Roman" w:eastAsia="Times New Roman" w:hAnsi="Times New Roman" w:cs="Times New Roman"/>
          <w:sz w:val="24"/>
          <w:szCs w:val="24"/>
        </w:rPr>
        <w:t xml:space="preserve"> findings raise significant concerns, both medically and legally</w:t>
      </w:r>
      <w:r w:rsidR="00FB0A50" w:rsidRPr="00865D61">
        <w:rPr>
          <w:rFonts w:ascii="Times New Roman" w:eastAsia="Times New Roman" w:hAnsi="Times New Roman" w:cs="Times New Roman"/>
          <w:sz w:val="24"/>
          <w:szCs w:val="24"/>
        </w:rPr>
        <w:t xml:space="preserve">, of </w:t>
      </w:r>
      <w:r w:rsidR="0049333B" w:rsidRPr="00865D61">
        <w:rPr>
          <w:rFonts w:ascii="Times New Roman" w:eastAsia="Times New Roman" w:hAnsi="Times New Roman" w:cs="Times New Roman"/>
          <w:sz w:val="24"/>
          <w:szCs w:val="24"/>
        </w:rPr>
        <w:t>your</w:t>
      </w:r>
      <w:r w:rsidR="00FB0A50" w:rsidRPr="00865D61">
        <w:rPr>
          <w:rFonts w:ascii="Times New Roman" w:eastAsia="Times New Roman" w:hAnsi="Times New Roman" w:cs="Times New Roman"/>
          <w:sz w:val="24"/>
          <w:szCs w:val="24"/>
        </w:rPr>
        <w:t xml:space="preserve"> current mask policy in place</w:t>
      </w:r>
      <w:r w:rsidR="00B92A85" w:rsidRPr="00865D61">
        <w:rPr>
          <w:rFonts w:ascii="Times New Roman" w:eastAsia="Times New Roman" w:hAnsi="Times New Roman" w:cs="Times New Roman"/>
          <w:sz w:val="24"/>
          <w:szCs w:val="24"/>
        </w:rPr>
        <w:t xml:space="preserve">.  Masks are ineffective for the purpose claimed by </w:t>
      </w:r>
      <w:r w:rsidR="0049333B" w:rsidRPr="00865D61">
        <w:rPr>
          <w:rFonts w:ascii="Times New Roman" w:eastAsia="Times New Roman" w:hAnsi="Times New Roman" w:cs="Times New Roman"/>
          <w:sz w:val="24"/>
          <w:szCs w:val="24"/>
        </w:rPr>
        <w:t>your</w:t>
      </w:r>
      <w:r w:rsidR="00B92A85" w:rsidRPr="00865D61">
        <w:rPr>
          <w:rFonts w:ascii="Times New Roman" w:eastAsia="Times New Roman" w:hAnsi="Times New Roman" w:cs="Times New Roman"/>
          <w:sz w:val="24"/>
          <w:szCs w:val="24"/>
        </w:rPr>
        <w:t xml:space="preserve"> mandate, potentially harmful, and only authorized for use by an EUA. </w:t>
      </w:r>
      <w:r w:rsidR="0049333B" w:rsidRPr="00865D61">
        <w:rPr>
          <w:rFonts w:ascii="Times New Roman" w:eastAsia="Times New Roman" w:hAnsi="Times New Roman" w:cs="Times New Roman"/>
          <w:sz w:val="24"/>
          <w:szCs w:val="24"/>
        </w:rPr>
        <w:t>In addition to the information provided in this letter, I have included a recent meta study asserting that face masks are ineffective, pose a significant health and mental health risk. It should also be painfully obvious that viruses transmit through the eyes and you will be examining my eyes.</w:t>
      </w:r>
    </w:p>
    <w:p w14:paraId="128C7AC5" w14:textId="77777777" w:rsidR="00B92A85" w:rsidRPr="00865D61" w:rsidRDefault="00B92A85" w:rsidP="00B92A85">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865D61">
        <w:rPr>
          <w:rFonts w:ascii="Times New Roman" w:eastAsia="Times New Roman" w:hAnsi="Times New Roman" w:cs="Times New Roman"/>
          <w:b/>
          <w:bCs/>
          <w:sz w:val="24"/>
          <w:szCs w:val="24"/>
          <w:u w:val="single"/>
        </w:rPr>
        <w:t>Masks are ineffective and in many ways they harm.</w:t>
      </w:r>
    </w:p>
    <w:p w14:paraId="324E95E8" w14:textId="77777777" w:rsidR="00B92A85" w:rsidRPr="00865D61" w:rsidRDefault="00B92A85" w:rsidP="00B92A85">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865D61">
        <w:rPr>
          <w:rFonts w:ascii="Times" w:hAnsi="Times" w:cs="Times New Roman"/>
          <w:sz w:val="24"/>
          <w:szCs w:val="24"/>
          <w:shd w:val="clear" w:color="auto" w:fill="FFFFFF"/>
        </w:rPr>
        <w:t xml:space="preserve">It’s a myth that masks prevent viruses from spreading.  </w:t>
      </w:r>
      <w:r w:rsidRPr="00865D61">
        <w:rPr>
          <w:rFonts w:ascii="Times" w:hAnsi="Times" w:cs="Times New Roman"/>
          <w:sz w:val="24"/>
          <w:szCs w:val="24"/>
        </w:rPr>
        <w:t>The overall evidence is clear:  Standard cloth and surgical masks offer next to no protection against virus-sized particles or small aerosols.</w:t>
      </w:r>
      <w:r w:rsidRPr="00865D61">
        <w:rPr>
          <w:rFonts w:ascii="Times" w:hAnsi="Times" w:cs="Times New Roman"/>
          <w:sz w:val="24"/>
          <w:szCs w:val="24"/>
          <w:vertAlign w:val="superscript"/>
        </w:rPr>
        <w:endnoteReference w:id="1"/>
      </w:r>
      <w:r w:rsidRPr="00865D61">
        <w:rPr>
          <w:rFonts w:ascii="Times" w:hAnsi="Times" w:cs="Times New Roman"/>
          <w:sz w:val="24"/>
          <w:szCs w:val="24"/>
        </w:rPr>
        <w:t xml:space="preserve">  </w:t>
      </w:r>
      <w:r w:rsidRPr="00865D61">
        <w:rPr>
          <w:rFonts w:ascii="Times" w:hAnsi="Times" w:cs="Times New Roman"/>
          <w:sz w:val="24"/>
          <w:szCs w:val="24"/>
          <w:shd w:val="clear" w:color="auto" w:fill="FFFFFF"/>
        </w:rPr>
        <w:t>The size of a virus particle is much too small to be stopped by a surgical mask, cloth or bandana.  A single virion of SARS-CoV-2 is about 60-140 nanometers or 0.1 microns.</w:t>
      </w:r>
      <w:r w:rsidRPr="00865D61">
        <w:rPr>
          <w:rFonts w:ascii="Times" w:hAnsi="Times" w:cs="Times New Roman"/>
          <w:sz w:val="24"/>
          <w:szCs w:val="24"/>
          <w:shd w:val="clear" w:color="auto" w:fill="FFFFFF"/>
          <w:vertAlign w:val="superscript"/>
        </w:rPr>
        <w:endnoteReference w:id="2"/>
      </w:r>
      <w:r w:rsidRPr="00865D61">
        <w:rPr>
          <w:rFonts w:ascii="Times" w:hAnsi="Times" w:cs="Times New Roman"/>
          <w:sz w:val="24"/>
          <w:szCs w:val="24"/>
          <w:shd w:val="clear" w:color="auto" w:fill="FFFFFF"/>
        </w:rPr>
        <w:t xml:space="preserve">  The pore size in a surgical mask is 200-1000x that size.  Consider that the CDC website states, “surgical masks do not catch all harmful particles in smoke.”  And that the size of smoke particles in a wildfire are ~0.5 microns which is 5x the size of the SARS-CoV-2 virus!  Wearing a mask to prevent catching SARS-CoV-2, or similarly sized influenza, is like throwing sand at a chain-link fence: it doesn’t work.  </w:t>
      </w:r>
      <w:r w:rsidRPr="00865D61">
        <w:rPr>
          <w:rFonts w:ascii="Times" w:eastAsia="Times New Roman" w:hAnsi="Times" w:cs="Times New Roman"/>
          <w:sz w:val="24"/>
          <w:szCs w:val="24"/>
        </w:rPr>
        <w:t>There has been one large randomized controlled trial that specifically examined whether masks protect their wearers from the coronavirus.  This study found mask wearing “did not reduce, at conventional levels of statistical significance, the incidence of Sars-Cov-2-infection.”</w:t>
      </w:r>
      <w:r w:rsidRPr="00865D61">
        <w:rPr>
          <w:rFonts w:ascii="Times" w:eastAsia="Times New Roman" w:hAnsi="Times" w:cs="Times New Roman"/>
          <w:sz w:val="24"/>
          <w:szCs w:val="24"/>
          <w:vertAlign w:val="superscript"/>
        </w:rPr>
        <w:endnoteReference w:id="3"/>
      </w:r>
      <w:r w:rsidRPr="00865D61">
        <w:rPr>
          <w:rFonts w:ascii="Times" w:hAnsi="Times" w:cs="Times New Roman"/>
          <w:sz w:val="24"/>
          <w:szCs w:val="24"/>
        </w:rPr>
        <w:t xml:space="preserve">  </w:t>
      </w:r>
    </w:p>
    <w:p w14:paraId="3E6FA99C" w14:textId="3ABD7A26" w:rsidR="0006187B" w:rsidRPr="00865D61" w:rsidRDefault="00B92A85" w:rsidP="0006187B">
      <w:pPr>
        <w:spacing w:after="0" w:line="240" w:lineRule="auto"/>
        <w:jc w:val="both"/>
        <w:rPr>
          <w:rFonts w:ascii="Times" w:eastAsia="Times New Roman" w:hAnsi="Times" w:cs="Times New Roman"/>
          <w:sz w:val="24"/>
          <w:szCs w:val="24"/>
          <w:shd w:val="clear" w:color="auto" w:fill="FFFFFF"/>
        </w:rPr>
      </w:pPr>
      <w:r w:rsidRPr="00865D61">
        <w:rPr>
          <w:rFonts w:ascii="Times" w:eastAsia="Times New Roman" w:hAnsi="Times" w:cs="Times New Roman"/>
          <w:sz w:val="24"/>
          <w:szCs w:val="24"/>
          <w:shd w:val="clear" w:color="auto" w:fill="FFFFFF"/>
        </w:rPr>
        <w:t>Consider also, that the existence of more particles does not mean more virus. Research shows less virus does not mean less illness. Dr. Kevin Fennelly, a pulmonologist at the National Heart, Lung and Blood institute debunked the view that larger droplets are responsible for viral transmission.  Fennelly wrote:</w:t>
      </w:r>
    </w:p>
    <w:p w14:paraId="2AA0F838" w14:textId="77777777" w:rsidR="00B92A85" w:rsidRPr="00865D61" w:rsidRDefault="00B92A85" w:rsidP="00B92A85">
      <w:pPr>
        <w:spacing w:after="0" w:line="240" w:lineRule="auto"/>
        <w:ind w:left="2880" w:right="1440"/>
        <w:jc w:val="both"/>
        <w:rPr>
          <w:rFonts w:ascii="Times" w:eastAsia="Times New Roman" w:hAnsi="Times" w:cs="Times New Roman"/>
          <w:sz w:val="24"/>
          <w:szCs w:val="24"/>
          <w:shd w:val="clear" w:color="auto" w:fill="FFFFFF"/>
        </w:rPr>
      </w:pPr>
      <w:r w:rsidRPr="00865D61">
        <w:rPr>
          <w:rFonts w:ascii="Times" w:eastAsia="Times New Roman" w:hAnsi="Times" w:cs="Times New Roman"/>
          <w:sz w:val="24"/>
          <w:szCs w:val="24"/>
          <w:shd w:val="clear" w:color="auto" w:fill="FFFFFF"/>
        </w:rPr>
        <w:t>“current infection control policies are based on the premise that most respiratory infections are transmitted by large respiratory droplets- i.e., larger than 5 [microns] – produced by coughing and sneezing, …Unfortunately, that premise is wrong.”</w:t>
      </w:r>
      <w:r w:rsidRPr="00865D61">
        <w:rPr>
          <w:rStyle w:val="EndnoteReference"/>
          <w:rFonts w:ascii="Times" w:eastAsia="Times New Roman" w:hAnsi="Times" w:cs="Times New Roman"/>
          <w:sz w:val="24"/>
          <w:szCs w:val="24"/>
          <w:shd w:val="clear" w:color="auto" w:fill="FFFFFF"/>
        </w:rPr>
        <w:endnoteReference w:id="4"/>
      </w:r>
    </w:p>
    <w:p w14:paraId="7C5F3C2E" w14:textId="77777777" w:rsidR="00B92A85" w:rsidRPr="00865D61" w:rsidRDefault="00B92A85" w:rsidP="00B92A85">
      <w:pPr>
        <w:spacing w:after="0" w:line="240" w:lineRule="auto"/>
        <w:jc w:val="both"/>
        <w:rPr>
          <w:rFonts w:ascii="Times" w:eastAsia="Times New Roman" w:hAnsi="Times" w:cs="Times New Roman"/>
          <w:sz w:val="24"/>
          <w:szCs w:val="24"/>
          <w:shd w:val="clear" w:color="auto" w:fill="FFFFFF"/>
        </w:rPr>
      </w:pPr>
    </w:p>
    <w:p w14:paraId="6C94A79F" w14:textId="77777777" w:rsidR="00B92A85" w:rsidRPr="00865D61" w:rsidRDefault="00B92A85" w:rsidP="00B92A85">
      <w:pPr>
        <w:spacing w:after="0" w:line="240" w:lineRule="auto"/>
        <w:jc w:val="both"/>
        <w:rPr>
          <w:rFonts w:ascii="Times" w:eastAsia="Times New Roman" w:hAnsi="Times" w:cs="Times New Roman"/>
          <w:sz w:val="24"/>
          <w:szCs w:val="24"/>
          <w:shd w:val="clear" w:color="auto" w:fill="FFFFFF"/>
        </w:rPr>
      </w:pPr>
      <w:r w:rsidRPr="00865D61">
        <w:rPr>
          <w:rFonts w:ascii="Times" w:eastAsia="Times New Roman" w:hAnsi="Times" w:cs="Times New Roman"/>
          <w:sz w:val="24"/>
          <w:szCs w:val="24"/>
          <w:shd w:val="clear" w:color="auto" w:fill="FFFFFF"/>
        </w:rPr>
        <w:t>Fennelly referenced a 1953 paper on anthrax that showed a single bacterial spore of about one micron was significantly more lethal than larger clumps of spores.</w:t>
      </w:r>
      <w:r w:rsidRPr="00865D61">
        <w:rPr>
          <w:rFonts w:ascii="Times" w:eastAsia="Times New Roman" w:hAnsi="Times" w:cs="Times New Roman"/>
          <w:sz w:val="24"/>
          <w:szCs w:val="24"/>
          <w:shd w:val="clear" w:color="auto" w:fill="FFFFFF"/>
          <w:vertAlign w:val="superscript"/>
        </w:rPr>
        <w:endnoteReference w:id="5"/>
      </w:r>
      <w:r w:rsidRPr="00865D61">
        <w:rPr>
          <w:rFonts w:ascii="Times" w:eastAsia="Times New Roman" w:hAnsi="Times" w:cs="Times New Roman"/>
          <w:sz w:val="24"/>
          <w:szCs w:val="24"/>
          <w:shd w:val="clear" w:color="auto" w:fill="FFFFFF"/>
        </w:rPr>
        <w:t xml:space="preserve">  Exposure to one virus particle is theoretically enough to cause infection and subsequent disease.  This is not an alarming thought - it simply means what it has always meant, that our immune system protects us continually all our life.</w:t>
      </w:r>
      <w:r w:rsidRPr="00865D61">
        <w:rPr>
          <w:rFonts w:ascii="Times" w:eastAsia="Times New Roman" w:hAnsi="Times" w:cs="Times New Roman"/>
          <w:sz w:val="24"/>
          <w:szCs w:val="24"/>
          <w:shd w:val="clear" w:color="auto" w:fill="FFFFFF"/>
          <w:vertAlign w:val="superscript"/>
        </w:rPr>
        <w:endnoteReference w:id="6"/>
      </w:r>
    </w:p>
    <w:p w14:paraId="1DEF62CB" w14:textId="77777777" w:rsidR="00B92A85" w:rsidRPr="00865D61" w:rsidRDefault="00B92A85" w:rsidP="00B92A85">
      <w:pPr>
        <w:spacing w:after="0" w:line="240" w:lineRule="auto"/>
        <w:jc w:val="both"/>
        <w:rPr>
          <w:rFonts w:ascii="Times" w:hAnsi="Times" w:cs="Times New Roman"/>
          <w:sz w:val="24"/>
          <w:szCs w:val="24"/>
          <w:shd w:val="clear" w:color="auto" w:fill="FFFFFF"/>
        </w:rPr>
      </w:pPr>
    </w:p>
    <w:p w14:paraId="03ADCC1C" w14:textId="5FDC751B" w:rsidR="00B92A85" w:rsidRPr="00865D61" w:rsidRDefault="00B92A85" w:rsidP="00B92A85">
      <w:pPr>
        <w:spacing w:after="0" w:line="240" w:lineRule="auto"/>
        <w:jc w:val="both"/>
        <w:rPr>
          <w:rFonts w:ascii="Times" w:hAnsi="Times" w:cs="Times New Roman"/>
          <w:sz w:val="24"/>
          <w:szCs w:val="24"/>
        </w:rPr>
      </w:pPr>
      <w:r w:rsidRPr="00865D61">
        <w:rPr>
          <w:rFonts w:ascii="Times" w:hAnsi="Times" w:cs="Times New Roman"/>
          <w:sz w:val="24"/>
          <w:szCs w:val="24"/>
          <w:shd w:val="clear" w:color="auto" w:fill="FFFFFF"/>
        </w:rPr>
        <w:t>There have been hundreds of mask studies related to influenza transmission done over several decades.  It is a well-established fact that masks do not stop viruses.  “</w:t>
      </w:r>
      <w:r w:rsidRPr="00865D61">
        <w:rPr>
          <w:rFonts w:ascii="Times" w:hAnsi="Times" w:cs="Times New Roman"/>
          <w:sz w:val="24"/>
          <w:szCs w:val="24"/>
        </w:rPr>
        <w:t>Part of that evidence shows that cloth facemasks actually increase influenza-linked illness.”</w:t>
      </w:r>
      <w:r w:rsidRPr="00865D61">
        <w:rPr>
          <w:rFonts w:ascii="Times" w:hAnsi="Times" w:cs="Times New Roman"/>
          <w:sz w:val="24"/>
          <w:szCs w:val="24"/>
          <w:vertAlign w:val="superscript"/>
        </w:rPr>
        <w:endnoteReference w:id="7"/>
      </w:r>
      <w:r w:rsidRPr="00865D61">
        <w:rPr>
          <w:rFonts w:ascii="Times" w:hAnsi="Times" w:cs="Times New Roman"/>
          <w:sz w:val="24"/>
          <w:szCs w:val="24"/>
        </w:rPr>
        <w:t xml:space="preserve">  </w:t>
      </w:r>
      <w:r w:rsidRPr="00865D61">
        <w:rPr>
          <w:rFonts w:ascii="Times" w:hAnsi="Times"/>
          <w:sz w:val="24"/>
          <w:szCs w:val="24"/>
        </w:rPr>
        <w:t>Bacteria are 50x larger than virus</w:t>
      </w:r>
      <w:r w:rsidR="00170859" w:rsidRPr="00865D61">
        <w:rPr>
          <w:rFonts w:ascii="Times" w:hAnsi="Times"/>
          <w:sz w:val="24"/>
          <w:szCs w:val="24"/>
        </w:rPr>
        <w:t xml:space="preserve"> </w:t>
      </w:r>
      <w:r w:rsidRPr="00865D61">
        <w:rPr>
          <w:rFonts w:ascii="Times" w:hAnsi="Times"/>
          <w:sz w:val="24"/>
          <w:szCs w:val="24"/>
        </w:rPr>
        <w:t>particles.</w:t>
      </w:r>
      <w:r w:rsidRPr="00865D61">
        <w:rPr>
          <w:rFonts w:ascii="Times" w:hAnsi="Times"/>
          <w:sz w:val="24"/>
          <w:szCs w:val="24"/>
          <w:vertAlign w:val="superscript"/>
        </w:rPr>
        <w:endnoteReference w:id="8"/>
      </w:r>
      <w:r w:rsidRPr="00865D61">
        <w:rPr>
          <w:rFonts w:ascii="Times" w:hAnsi="Times"/>
          <w:sz w:val="24"/>
          <w:szCs w:val="24"/>
        </w:rPr>
        <w:t xml:space="preserve">  As such, virus particles can enter through the mask pores, yet bacteria remain trapped inside of the mask, resulting in the mask-wearer continually exposed to the bacteria. </w:t>
      </w:r>
    </w:p>
    <w:p w14:paraId="3D7BF0CA" w14:textId="77777777" w:rsidR="00B92A85" w:rsidRPr="00865D61" w:rsidRDefault="00B92A85"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Related to the 1918-1919 influenza pandemic, there was almost universal agreement among experts, that deaths were virtually never caused by the influenza virus itself but resulted directly from severe secondary pneumonia caused by well-known bacterial “</w:t>
      </w:r>
      <w:proofErr w:type="spellStart"/>
      <w:r w:rsidRPr="00865D61">
        <w:rPr>
          <w:rFonts w:ascii="Times" w:eastAsia="Times New Roman" w:hAnsi="Times" w:cs="Times New Roman"/>
          <w:sz w:val="24"/>
          <w:szCs w:val="24"/>
        </w:rPr>
        <w:t>pneumopathogens</w:t>
      </w:r>
      <w:proofErr w:type="spellEnd"/>
      <w:r w:rsidRPr="00865D61">
        <w:rPr>
          <w:rFonts w:ascii="Times" w:eastAsia="Times New Roman" w:hAnsi="Times" w:cs="Times New Roman"/>
          <w:sz w:val="24"/>
          <w:szCs w:val="24"/>
        </w:rPr>
        <w:t>” that colonized the upper respiratory tract.</w:t>
      </w:r>
      <w:r w:rsidRPr="00865D61">
        <w:rPr>
          <w:rFonts w:ascii="Times" w:eastAsia="Times New Roman" w:hAnsi="Times" w:cs="Times New Roman"/>
          <w:sz w:val="24"/>
          <w:szCs w:val="24"/>
          <w:vertAlign w:val="superscript"/>
        </w:rPr>
        <w:endnoteReference w:id="9"/>
      </w:r>
      <w:r w:rsidRPr="00865D61">
        <w:rPr>
          <w:rFonts w:ascii="Times" w:eastAsia="Times New Roman" w:hAnsi="Times" w:cs="Times New Roman"/>
          <w:sz w:val="24"/>
          <w:szCs w:val="24"/>
        </w:rPr>
        <w:t xml:space="preserve">  Dr. Fauci and his National Institute of Health studied pandemics and epidemics and concluded, “the vast majority of influenza deaths resulted from secondary bacterial pneumonia.”</w:t>
      </w:r>
      <w:r w:rsidRPr="00865D61">
        <w:rPr>
          <w:rFonts w:ascii="Times" w:eastAsia="Times New Roman" w:hAnsi="Times" w:cs="Times New Roman"/>
          <w:sz w:val="24"/>
          <w:szCs w:val="24"/>
          <w:vertAlign w:val="superscript"/>
        </w:rPr>
        <w:endnoteReference w:id="10"/>
      </w:r>
    </w:p>
    <w:p w14:paraId="56D14C13" w14:textId="10D51DF2" w:rsidR="00B92A85" w:rsidRPr="00865D61" w:rsidRDefault="00B92A85" w:rsidP="00B92A85">
      <w:pPr>
        <w:spacing w:after="0" w:line="240" w:lineRule="auto"/>
        <w:jc w:val="both"/>
        <w:rPr>
          <w:rFonts w:ascii="Times" w:eastAsia="Times New Roman" w:hAnsi="Times" w:cs="Times New Roman"/>
          <w:sz w:val="24"/>
          <w:szCs w:val="24"/>
        </w:rPr>
      </w:pPr>
      <w:r w:rsidRPr="00865D61">
        <w:rPr>
          <w:rFonts w:ascii="Times" w:hAnsi="Times" w:cs="Times New Roman"/>
          <w:sz w:val="24"/>
          <w:szCs w:val="24"/>
        </w:rPr>
        <w:t xml:space="preserve">All parties mandating the use of facemasks are not only willfully ignoring established science but are engaging in what amounts to a clinical experimental trial.  This conclusion is reached by the fact that facemask use and </w:t>
      </w:r>
      <w:r w:rsidR="00CC39BF" w:rsidRPr="00865D61">
        <w:rPr>
          <w:rFonts w:ascii="Times" w:hAnsi="Times" w:cs="Times New Roman"/>
          <w:sz w:val="24"/>
          <w:szCs w:val="24"/>
        </w:rPr>
        <w:t>Covid</w:t>
      </w:r>
      <w:r w:rsidRPr="00865D61">
        <w:rPr>
          <w:rFonts w:ascii="Times" w:hAnsi="Times" w:cs="Times New Roman"/>
          <w:sz w:val="24"/>
          <w:szCs w:val="24"/>
        </w:rPr>
        <w:t xml:space="preserve">-19 incidence are being reported in scientific </w:t>
      </w:r>
      <w:r w:rsidRPr="00865D61">
        <w:rPr>
          <w:rFonts w:ascii="Times" w:hAnsi="Times" w:cs="Times New Roman"/>
          <w:b/>
          <w:bCs/>
          <w:i/>
          <w:iCs/>
          <w:sz w:val="24"/>
          <w:szCs w:val="24"/>
        </w:rPr>
        <w:t>opinion</w:t>
      </w:r>
      <w:r w:rsidRPr="00865D61">
        <w:rPr>
          <w:rFonts w:ascii="Times" w:hAnsi="Times" w:cs="Times New Roman"/>
          <w:sz w:val="24"/>
          <w:szCs w:val="24"/>
        </w:rPr>
        <w:t xml:space="preserve"> pieces promoted by the CDC and others.</w:t>
      </w:r>
      <w:r w:rsidRPr="00865D61">
        <w:rPr>
          <w:rFonts w:ascii="Times" w:hAnsi="Times" w:cs="Times New Roman"/>
          <w:sz w:val="24"/>
          <w:szCs w:val="24"/>
          <w:vertAlign w:val="superscript"/>
        </w:rPr>
        <w:endnoteReference w:id="11"/>
      </w:r>
      <w:r w:rsidRPr="00865D61">
        <w:rPr>
          <w:rFonts w:ascii="Times" w:hAnsi="Times" w:cs="Times New Roman"/>
          <w:sz w:val="24"/>
          <w:szCs w:val="24"/>
        </w:rPr>
        <w:t xml:space="preserve">  </w:t>
      </w:r>
      <w:r w:rsidRPr="00865D61">
        <w:rPr>
          <w:rFonts w:ascii="Times" w:eastAsia="Times New Roman" w:hAnsi="Times" w:cs="Times New Roman"/>
          <w:sz w:val="24"/>
          <w:szCs w:val="24"/>
        </w:rPr>
        <w:t xml:space="preserve"> </w:t>
      </w:r>
      <w:r w:rsidRPr="00865D61">
        <w:rPr>
          <w:rFonts w:ascii="Times" w:hAnsi="Times" w:cs="Times New Roman"/>
          <w:sz w:val="24"/>
          <w:szCs w:val="24"/>
        </w:rPr>
        <w:t xml:space="preserve">The fact is </w:t>
      </w:r>
      <w:r w:rsidRPr="00865D61">
        <w:rPr>
          <w:rFonts w:ascii="Times" w:hAnsi="Times" w:cs="Times New Roman"/>
          <w:b/>
          <w:sz w:val="24"/>
          <w:szCs w:val="24"/>
        </w:rPr>
        <w:t>after reviewing ALL of the studies worldwide, the CDC found “no reduction in viral transmission with the use of face masks.”</w:t>
      </w:r>
      <w:r w:rsidRPr="00865D61">
        <w:rPr>
          <w:rFonts w:ascii="Times" w:hAnsi="Times" w:cs="Times New Roman"/>
          <w:b/>
          <w:sz w:val="24"/>
          <w:szCs w:val="24"/>
          <w:vertAlign w:val="superscript"/>
        </w:rPr>
        <w:endnoteReference w:id="12"/>
      </w:r>
      <w:r w:rsidRPr="00865D61">
        <w:rPr>
          <w:rFonts w:ascii="Times" w:hAnsi="Times" w:cs="Times New Roman"/>
          <w:sz w:val="24"/>
          <w:szCs w:val="24"/>
        </w:rPr>
        <w:t xml:space="preserve">  </w:t>
      </w:r>
    </w:p>
    <w:p w14:paraId="366054D0" w14:textId="3FB7967A" w:rsidR="00B92A85" w:rsidRPr="00865D61" w:rsidRDefault="00B92A85" w:rsidP="00B92A85">
      <w:pPr>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 xml:space="preserve">Any intervention, especially one that is prophylactic, must cause fewer harms to the recipient than the infection.  </w:t>
      </w:r>
      <w:r w:rsidR="0002582D" w:rsidRPr="00865D61">
        <w:rPr>
          <w:rFonts w:ascii="Times" w:eastAsia="Times New Roman" w:hAnsi="Times" w:cs="Times New Roman"/>
          <w:sz w:val="24"/>
          <w:szCs w:val="24"/>
        </w:rPr>
        <w:t>T</w:t>
      </w:r>
      <w:r w:rsidRPr="00865D61">
        <w:rPr>
          <w:rFonts w:ascii="Times" w:eastAsia="Times New Roman" w:hAnsi="Times" w:cs="Times New Roman"/>
          <w:sz w:val="24"/>
          <w:szCs w:val="24"/>
        </w:rPr>
        <w:t xml:space="preserve">he cost-benefit of </w:t>
      </w:r>
      <w:r w:rsidR="0002582D" w:rsidRPr="00865D61">
        <w:rPr>
          <w:rFonts w:ascii="Times" w:eastAsia="Times New Roman" w:hAnsi="Times" w:cs="Times New Roman"/>
          <w:sz w:val="24"/>
          <w:szCs w:val="24"/>
        </w:rPr>
        <w:t>mandating</w:t>
      </w:r>
      <w:r w:rsidRPr="00865D61">
        <w:rPr>
          <w:rFonts w:ascii="Times" w:eastAsia="Times New Roman" w:hAnsi="Times" w:cs="Times New Roman"/>
          <w:sz w:val="24"/>
          <w:szCs w:val="24"/>
        </w:rPr>
        <w:t xml:space="preserve"> an investigational face-covering with emerging safety issues is especially difficult to justify.  Anthony Fauci was very clear that asymptomatic transmission was not a threat.   He stated, “in all the history of respiratory-borne viruses of any type, asymptomatic transmission has never been the driver of outbreaks.  The driver of outbreaks is always a symptomatic person.”</w:t>
      </w:r>
      <w:r w:rsidRPr="00865D61">
        <w:rPr>
          <w:rFonts w:ascii="Times" w:eastAsia="Times New Roman" w:hAnsi="Times" w:cs="Times New Roman"/>
          <w:sz w:val="24"/>
          <w:szCs w:val="24"/>
          <w:vertAlign w:val="superscript"/>
        </w:rPr>
        <w:endnoteReference w:id="13"/>
      </w:r>
    </w:p>
    <w:p w14:paraId="28A27639" w14:textId="77777777" w:rsidR="00B92A85" w:rsidRPr="00865D61" w:rsidRDefault="00B92A85" w:rsidP="00B92A85">
      <w:pPr>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Wearing respirators come(s) with a host of physiological and psychological burdens.  These can interfere with task performances and reduce work efficiency.  These burdens can even be</w:t>
      </w:r>
      <w:r w:rsidRPr="00865D61">
        <w:rPr>
          <w:rFonts w:ascii="Times" w:eastAsia="Times New Roman" w:hAnsi="Times" w:cs="Times New Roman"/>
          <w:b/>
          <w:sz w:val="24"/>
          <w:szCs w:val="24"/>
        </w:rPr>
        <w:t xml:space="preserve"> </w:t>
      </w:r>
      <w:r w:rsidRPr="00865D61">
        <w:rPr>
          <w:rFonts w:ascii="Times" w:eastAsia="Times New Roman" w:hAnsi="Times" w:cs="Times New Roman"/>
          <w:bCs/>
          <w:sz w:val="24"/>
          <w:szCs w:val="24"/>
        </w:rPr>
        <w:t>severe enough to cause life-threatening conditions if not ameliorated.</w:t>
      </w:r>
      <w:r w:rsidRPr="00865D61">
        <w:rPr>
          <w:rFonts w:ascii="Times" w:eastAsia="Times New Roman" w:hAnsi="Times" w:cs="Times New Roman"/>
          <w:bCs/>
          <w:sz w:val="24"/>
          <w:szCs w:val="24"/>
          <w:vertAlign w:val="superscript"/>
        </w:rPr>
        <w:endnoteReference w:id="14"/>
      </w:r>
      <w:r w:rsidRPr="00865D61">
        <w:rPr>
          <w:rFonts w:ascii="Times" w:eastAsia="Times New Roman" w:hAnsi="Times" w:cs="Times New Roman"/>
          <w:bCs/>
          <w:sz w:val="24"/>
          <w:szCs w:val="24"/>
        </w:rPr>
        <w:t xml:space="preserve">  Fifteen years ago,</w:t>
      </w:r>
      <w:r w:rsidRPr="00865D61">
        <w:rPr>
          <w:rFonts w:ascii="Times" w:eastAsia="Times New Roman" w:hAnsi="Times" w:cs="Times New Roman"/>
          <w:b/>
          <w:sz w:val="24"/>
          <w:szCs w:val="24"/>
        </w:rPr>
        <w:t xml:space="preserve"> </w:t>
      </w:r>
      <w:r w:rsidRPr="00865D61">
        <w:rPr>
          <w:rFonts w:ascii="Times" w:eastAsia="Times New Roman" w:hAnsi="Times" w:cs="Times New Roman"/>
          <w:sz w:val="24"/>
          <w:szCs w:val="24"/>
        </w:rPr>
        <w:t>National Taiwan University Hospital concluded that the use of N-95 masks in healthcare workers caused them to experience hypoxemia, a low level of oxygen in the blood, and hypercapnia, an elevation in the blood's carbon dioxide levels.</w:t>
      </w:r>
      <w:r w:rsidRPr="00865D61">
        <w:rPr>
          <w:rFonts w:ascii="Times" w:eastAsia="Times New Roman" w:hAnsi="Times" w:cs="Times New Roman"/>
          <w:sz w:val="24"/>
          <w:szCs w:val="24"/>
          <w:vertAlign w:val="superscript"/>
        </w:rPr>
        <w:endnoteReference w:id="15"/>
      </w:r>
      <w:r w:rsidRPr="00865D61">
        <w:rPr>
          <w:rFonts w:ascii="Times" w:eastAsia="Times New Roman" w:hAnsi="Times" w:cs="Times New Roman"/>
          <w:sz w:val="24"/>
          <w:szCs w:val="24"/>
        </w:rPr>
        <w:t xml:space="preserve">  Studies of simple surgical masks found significant reductions in blood oxygen as well.  In one particular study, researchers measured blood oxygenation before and after surgeries in 53 surgeons.  Researchers found the mask reduced the blood oxygen levels significantly, and the longer the duration of wearing the mask, the greater the drop in blood oxygen levels.</w:t>
      </w:r>
      <w:r w:rsidRPr="00865D61">
        <w:rPr>
          <w:rFonts w:ascii="Times" w:eastAsia="Times New Roman" w:hAnsi="Times" w:cs="Times New Roman"/>
          <w:sz w:val="24"/>
          <w:szCs w:val="24"/>
          <w:vertAlign w:val="superscript"/>
        </w:rPr>
        <w:endnoteReference w:id="16"/>
      </w:r>
    </w:p>
    <w:p w14:paraId="7B9E2732" w14:textId="764B7886" w:rsidR="00B92A85" w:rsidRPr="00865D61" w:rsidRDefault="00B92A85" w:rsidP="00B92A85">
      <w:pPr>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Moreover, people with cancer</w:t>
      </w:r>
      <w:r w:rsidR="0002582D" w:rsidRPr="00865D61">
        <w:rPr>
          <w:rFonts w:ascii="Times" w:eastAsia="Times New Roman" w:hAnsi="Times" w:cs="Times New Roman"/>
          <w:sz w:val="24"/>
          <w:szCs w:val="24"/>
        </w:rPr>
        <w:t xml:space="preserve"> </w:t>
      </w:r>
      <w:r w:rsidRPr="00865D61">
        <w:rPr>
          <w:rFonts w:ascii="Times" w:eastAsia="Times New Roman" w:hAnsi="Times" w:cs="Times New Roman"/>
          <w:sz w:val="24"/>
          <w:szCs w:val="24"/>
        </w:rPr>
        <w:t>will be at a further risk from hypoxia, as cancer cells grow best in a bodily environment that is low in oxygen.  Low oxygen also promotes systemic inflammation which, in turn, promotes “the growth, invasion and spread of cancers.”</w:t>
      </w:r>
      <w:r w:rsidRPr="00865D61">
        <w:rPr>
          <w:rFonts w:ascii="Times" w:eastAsia="Times New Roman" w:hAnsi="Times" w:cs="Times New Roman"/>
          <w:sz w:val="24"/>
          <w:szCs w:val="24"/>
          <w:vertAlign w:val="superscript"/>
        </w:rPr>
        <w:endnoteReference w:id="17"/>
      </w:r>
      <w:r w:rsidRPr="00865D61">
        <w:rPr>
          <w:rFonts w:ascii="Times" w:eastAsia="Times New Roman" w:hAnsi="Times" w:cs="Times New Roman"/>
          <w:sz w:val="24"/>
          <w:szCs w:val="24"/>
        </w:rPr>
        <w:t xml:space="preserve">   Repeated episodes of low oxygen, known as intermittent hypoxia, also “causes atherosclerosis” and hence increases “all cardiovascular events” such as heart attacks, as well as adverse cerebral events like stroke.</w:t>
      </w:r>
      <w:r w:rsidRPr="00865D61">
        <w:rPr>
          <w:rFonts w:ascii="Times" w:eastAsia="Times New Roman" w:hAnsi="Times" w:cs="Times New Roman"/>
          <w:sz w:val="24"/>
          <w:szCs w:val="24"/>
          <w:vertAlign w:val="superscript"/>
        </w:rPr>
        <w:endnoteReference w:id="18"/>
      </w:r>
      <w:r w:rsidRPr="00865D61">
        <w:rPr>
          <w:rFonts w:ascii="Times" w:eastAsia="Times New Roman" w:hAnsi="Times" w:cs="Times New Roman"/>
          <w:sz w:val="24"/>
          <w:szCs w:val="24"/>
        </w:rPr>
        <w:t xml:space="preserve">  </w:t>
      </w:r>
    </w:p>
    <w:p w14:paraId="32A20225" w14:textId="77777777" w:rsidR="00E37AA0" w:rsidRPr="00865D61" w:rsidRDefault="00E37AA0" w:rsidP="00B92A85">
      <w:pPr>
        <w:spacing w:before="100" w:beforeAutospacing="1" w:after="100" w:afterAutospacing="1" w:line="240" w:lineRule="auto"/>
        <w:jc w:val="both"/>
        <w:rPr>
          <w:rFonts w:ascii="Times" w:eastAsia="Times New Roman" w:hAnsi="Times" w:cs="Times New Roman"/>
          <w:sz w:val="24"/>
          <w:szCs w:val="24"/>
        </w:rPr>
      </w:pPr>
    </w:p>
    <w:p w14:paraId="7D5295BB" w14:textId="77777777" w:rsidR="00B92A85" w:rsidRPr="00865D61" w:rsidRDefault="00B92A85" w:rsidP="00B92A85">
      <w:pPr>
        <w:spacing w:before="100" w:beforeAutospacing="1" w:after="100" w:afterAutospacing="1" w:line="240" w:lineRule="auto"/>
        <w:jc w:val="both"/>
        <w:rPr>
          <w:rFonts w:ascii="Times" w:eastAsia="Times New Roman" w:hAnsi="Times" w:cs="Times New Roman"/>
          <w:b/>
          <w:bCs/>
          <w:sz w:val="24"/>
          <w:szCs w:val="24"/>
          <w:u w:val="single"/>
        </w:rPr>
      </w:pPr>
      <w:r w:rsidRPr="00865D61">
        <w:rPr>
          <w:rFonts w:ascii="Times" w:eastAsia="Times New Roman" w:hAnsi="Times" w:cs="Times New Roman"/>
          <w:b/>
          <w:bCs/>
          <w:sz w:val="24"/>
          <w:szCs w:val="24"/>
          <w:u w:val="single"/>
        </w:rPr>
        <w:lastRenderedPageBreak/>
        <w:t xml:space="preserve">Informed consent is required for investigational medical therapies. </w:t>
      </w:r>
    </w:p>
    <w:p w14:paraId="64472EC7" w14:textId="460A45F9" w:rsidR="00B92A85" w:rsidRPr="00865D61" w:rsidRDefault="00B92A85" w:rsidP="00B92A85">
      <w:pPr>
        <w:spacing w:before="100" w:beforeAutospacing="1" w:after="100" w:afterAutospacing="1" w:line="240" w:lineRule="auto"/>
        <w:jc w:val="both"/>
        <w:rPr>
          <w:rFonts w:ascii="Times New Roman" w:eastAsia="Times New Roman" w:hAnsi="Times New Roman" w:cs="Times New Roman"/>
          <w:sz w:val="24"/>
          <w:szCs w:val="24"/>
        </w:rPr>
      </w:pPr>
      <w:r w:rsidRPr="00865D61">
        <w:rPr>
          <w:rFonts w:ascii="Times" w:eastAsia="Times New Roman" w:hAnsi="Times" w:cs="Times New Roman"/>
          <w:sz w:val="24"/>
          <w:szCs w:val="24"/>
        </w:rPr>
        <w:t xml:space="preserve">Regardless of the lack of safety and efficacy behind the decision to require </w:t>
      </w:r>
      <w:r w:rsidR="00BB314D" w:rsidRPr="00865D61">
        <w:rPr>
          <w:rFonts w:ascii="Times" w:eastAsia="Times New Roman" w:hAnsi="Times" w:cs="Times New Roman"/>
          <w:sz w:val="24"/>
          <w:szCs w:val="24"/>
        </w:rPr>
        <w:t>patients</w:t>
      </w:r>
      <w:r w:rsidRPr="00865D61">
        <w:rPr>
          <w:rFonts w:ascii="Times" w:eastAsia="Times New Roman" w:hAnsi="Times" w:cs="Times New Roman"/>
          <w:sz w:val="24"/>
          <w:szCs w:val="24"/>
        </w:rPr>
        <w:t xml:space="preserve"> to wear a mask, it is illegal to mandate EUA approved investigational medical therapies without informed consent. </w:t>
      </w:r>
      <w:r w:rsidRPr="00865D61">
        <w:rPr>
          <w:rFonts w:ascii="Times New Roman" w:eastAsia="Times New Roman" w:hAnsi="Times New Roman" w:cs="Times New Roman"/>
          <w:sz w:val="24"/>
          <w:szCs w:val="24"/>
        </w:rPr>
        <w:t>Mask use for viral transmission prevention is authorized for Emergency Use only.</w:t>
      </w:r>
      <w:r w:rsidRPr="00865D61">
        <w:rPr>
          <w:rFonts w:ascii="Times New Roman" w:eastAsia="Times New Roman" w:hAnsi="Times New Roman" w:cs="Times New Roman"/>
          <w:sz w:val="24"/>
          <w:szCs w:val="24"/>
          <w:vertAlign w:val="superscript"/>
        </w:rPr>
        <w:endnoteReference w:id="19"/>
      </w:r>
      <w:r w:rsidRPr="00865D61">
        <w:rPr>
          <w:rFonts w:ascii="Times New Roman" w:eastAsia="Times New Roman" w:hAnsi="Times New Roman" w:cs="Times New Roman"/>
          <w:sz w:val="24"/>
          <w:szCs w:val="24"/>
        </w:rPr>
        <w:t xml:space="preserve">  Emergency Use Authorization by the FDA, means “the products are investigational and experimental” only.</w:t>
      </w:r>
      <w:r w:rsidRPr="00865D61">
        <w:rPr>
          <w:rFonts w:ascii="Times New Roman" w:eastAsia="Times New Roman" w:hAnsi="Times New Roman" w:cs="Times New Roman"/>
          <w:sz w:val="24"/>
          <w:szCs w:val="24"/>
          <w:vertAlign w:val="superscript"/>
        </w:rPr>
        <w:endnoteReference w:id="20"/>
      </w:r>
      <w:r w:rsidRPr="00865D61">
        <w:rPr>
          <w:rFonts w:ascii="Times New Roman" w:eastAsia="Times New Roman" w:hAnsi="Times New Roman" w:cs="Times New Roman"/>
          <w:sz w:val="24"/>
          <w:szCs w:val="24"/>
        </w:rPr>
        <w:t xml:space="preserve">  The statute granting the FDA the power to authorize a medical product of emergency use requires that the person being administered the unapproved product be advised of his or her right to refuse administration of the product.</w:t>
      </w:r>
      <w:r w:rsidRPr="00865D61">
        <w:rPr>
          <w:rStyle w:val="EndnoteReference"/>
          <w:rFonts w:ascii="Times New Roman" w:eastAsia="Times New Roman" w:hAnsi="Times New Roman" w:cs="Times New Roman"/>
          <w:sz w:val="24"/>
          <w:szCs w:val="24"/>
        </w:rPr>
        <w:endnoteReference w:id="21"/>
      </w:r>
      <w:r w:rsidRPr="00865D61">
        <w:rPr>
          <w:rFonts w:ascii="Times New Roman" w:eastAsia="Times New Roman" w:hAnsi="Times New Roman" w:cs="Times New Roman"/>
          <w:sz w:val="24"/>
          <w:szCs w:val="24"/>
        </w:rPr>
        <w:t xml:space="preserve">  This statute further recognizes the well-settled doctrine that medical experiments, or “clinical research,” may not be performed on human subjects without the express, informed consent of the individual receiving treatment.</w:t>
      </w:r>
      <w:r w:rsidRPr="00865D61">
        <w:rPr>
          <w:rFonts w:ascii="Times New Roman" w:eastAsia="Times New Roman" w:hAnsi="Times New Roman" w:cs="Times New Roman"/>
          <w:sz w:val="24"/>
          <w:szCs w:val="24"/>
          <w:vertAlign w:val="superscript"/>
        </w:rPr>
        <w:endnoteReference w:id="22"/>
      </w:r>
      <w:r w:rsidRPr="00865D61">
        <w:rPr>
          <w:rFonts w:ascii="Times New Roman" w:eastAsia="Times New Roman" w:hAnsi="Times New Roman" w:cs="Times New Roman"/>
          <w:sz w:val="24"/>
          <w:szCs w:val="24"/>
        </w:rPr>
        <w:t xml:space="preserve"> </w:t>
      </w:r>
    </w:p>
    <w:p w14:paraId="19DA6E46" w14:textId="21F9A83F" w:rsidR="00B92A85" w:rsidRPr="00865D61" w:rsidRDefault="00B92A85" w:rsidP="00B92A85">
      <w:pPr>
        <w:spacing w:before="100" w:beforeAutospacing="1" w:after="100" w:afterAutospacing="1" w:line="240" w:lineRule="auto"/>
        <w:jc w:val="both"/>
        <w:rPr>
          <w:rFonts w:ascii="Times New Roman" w:eastAsia="Times New Roman" w:hAnsi="Times New Roman" w:cs="Times New Roman"/>
          <w:sz w:val="24"/>
          <w:szCs w:val="24"/>
        </w:rPr>
      </w:pPr>
      <w:r w:rsidRPr="00865D61">
        <w:rPr>
          <w:rFonts w:ascii="Times New Roman" w:eastAsia="Times New Roman" w:hAnsi="Times New Roman" w:cs="Times New Roman"/>
          <w:sz w:val="24"/>
          <w:szCs w:val="24"/>
        </w:rPr>
        <w:t>The right to avoid the imposition of human experimentation is fundamental, rooted in the Nuremberg Code of 1947, has been ratified by the 1964 Declaration of Helsinki, and further codified in the United States Code of Federal Regulations. In addition to the Unites States regarding itself as bound by these provisions, these principles were adopted by the FDA in its regulations requiring the informed consent of human subjects for medical research.</w:t>
      </w:r>
      <w:r w:rsidRPr="00865D61">
        <w:rPr>
          <w:rFonts w:ascii="Times New Roman" w:eastAsia="Times New Roman" w:hAnsi="Times New Roman" w:cs="Times New Roman"/>
          <w:sz w:val="24"/>
          <w:szCs w:val="24"/>
          <w:vertAlign w:val="superscript"/>
        </w:rPr>
        <w:endnoteReference w:id="23"/>
      </w:r>
      <w:r w:rsidRPr="00865D61">
        <w:rPr>
          <w:rFonts w:ascii="Times New Roman" w:eastAsia="Times New Roman" w:hAnsi="Times New Roman" w:cs="Times New Roman"/>
          <w:sz w:val="24"/>
          <w:szCs w:val="24"/>
        </w:rPr>
        <w:t xml:space="preserve">  The law is very clear; It is unlawful to conduct medical research (even in the case of emergency), unless steps taken to … secure informed consent of all participants.</w:t>
      </w:r>
      <w:r w:rsidRPr="00865D61">
        <w:rPr>
          <w:rFonts w:ascii="Times New Roman" w:eastAsia="Times New Roman" w:hAnsi="Times New Roman" w:cs="Times New Roman"/>
          <w:sz w:val="24"/>
          <w:szCs w:val="24"/>
          <w:vertAlign w:val="superscript"/>
        </w:rPr>
        <w:endnoteReference w:id="24"/>
      </w:r>
      <w:r w:rsidRPr="00865D61">
        <w:rPr>
          <w:rFonts w:ascii="Times New Roman" w:eastAsia="Times New Roman" w:hAnsi="Times New Roman" w:cs="Times New Roman"/>
          <w:sz w:val="24"/>
          <w:szCs w:val="24"/>
        </w:rPr>
        <w:t xml:space="preserve"> </w:t>
      </w:r>
    </w:p>
    <w:p w14:paraId="6BC52F12" w14:textId="14F2C731" w:rsidR="00B92A85" w:rsidRPr="00865D61" w:rsidRDefault="00B92A85" w:rsidP="00B92A85">
      <w:pPr>
        <w:spacing w:after="0" w:line="240" w:lineRule="auto"/>
        <w:jc w:val="both"/>
        <w:rPr>
          <w:rFonts w:ascii="Times New Roman" w:eastAsia="Times New Roman" w:hAnsi="Times New Roman" w:cs="Times New Roman"/>
          <w:sz w:val="24"/>
          <w:szCs w:val="24"/>
          <w:shd w:val="clear" w:color="auto" w:fill="FFFFFF"/>
        </w:rPr>
      </w:pPr>
      <w:r w:rsidRPr="00865D61">
        <w:rPr>
          <w:rFonts w:ascii="Times New Roman" w:eastAsia="Times New Roman" w:hAnsi="Times New Roman" w:cs="Times New Roman"/>
          <w:sz w:val="24"/>
          <w:szCs w:val="24"/>
        </w:rPr>
        <w:t xml:space="preserve">Furthermore, by requiring </w:t>
      </w:r>
      <w:r w:rsidR="00BB314D" w:rsidRPr="00865D61">
        <w:rPr>
          <w:rFonts w:ascii="Times New Roman" w:eastAsia="Times New Roman" w:hAnsi="Times New Roman" w:cs="Times New Roman"/>
          <w:sz w:val="24"/>
          <w:szCs w:val="24"/>
        </w:rPr>
        <w:t>patients</w:t>
      </w:r>
      <w:r w:rsidRPr="00865D61">
        <w:rPr>
          <w:rFonts w:ascii="Times New Roman" w:eastAsia="Times New Roman" w:hAnsi="Times New Roman" w:cs="Times New Roman"/>
          <w:sz w:val="24"/>
          <w:szCs w:val="24"/>
        </w:rPr>
        <w:t xml:space="preserve"> to wear a mask, you are promoting the idea that the mask can prevent or treat a disease, which is an illegal deceptive practice.  It</w:t>
      </w:r>
      <w:r w:rsidRPr="00865D61">
        <w:rPr>
          <w:rFonts w:ascii="Times New Roman" w:hAnsi="Times New Roman" w:cs="Times New Roman"/>
          <w:sz w:val="24"/>
          <w:szCs w:val="24"/>
        </w:rPr>
        <w:t xml:space="preserve"> is unlawful to advertise </w:t>
      </w:r>
      <w:r w:rsidRPr="00865D61">
        <w:rPr>
          <w:rFonts w:ascii="Times New Roman" w:eastAsia="Times New Roman" w:hAnsi="Times New Roman" w:cs="Times New Roman"/>
          <w:sz w:val="24"/>
          <w:szCs w:val="24"/>
          <w:shd w:val="clear" w:color="auto" w:fill="FFFFFF"/>
        </w:rPr>
        <w:t>that a product or service can prevent…disease unless you possess competent and reliable scientific evidence… substantiating that the claims are true.</w:t>
      </w:r>
      <w:r w:rsidRPr="00865D61">
        <w:rPr>
          <w:rFonts w:ascii="Times New Roman" w:eastAsia="Times New Roman" w:hAnsi="Times New Roman" w:cs="Times New Roman"/>
          <w:sz w:val="24"/>
          <w:szCs w:val="24"/>
          <w:shd w:val="clear" w:color="auto" w:fill="FFFFFF"/>
          <w:vertAlign w:val="superscript"/>
        </w:rPr>
        <w:endnoteReference w:id="25"/>
      </w:r>
      <w:r w:rsidRPr="00865D61">
        <w:rPr>
          <w:rFonts w:ascii="Times New Roman" w:eastAsia="Times New Roman" w:hAnsi="Times New Roman" w:cs="Times New Roman"/>
          <w:sz w:val="24"/>
          <w:szCs w:val="24"/>
          <w:shd w:val="clear" w:color="auto" w:fill="FFFFFF"/>
        </w:rPr>
        <w:t xml:space="preserve"> </w:t>
      </w:r>
    </w:p>
    <w:p w14:paraId="06ABB5DC" w14:textId="77777777" w:rsidR="00B92A85" w:rsidRPr="00865D61" w:rsidRDefault="00B92A85" w:rsidP="00B92A85">
      <w:pPr>
        <w:spacing w:after="0" w:line="240" w:lineRule="auto"/>
        <w:jc w:val="both"/>
        <w:rPr>
          <w:rFonts w:ascii="Times New Roman" w:hAnsi="Times New Roman" w:cs="Times New Roman"/>
          <w:sz w:val="24"/>
          <w:szCs w:val="24"/>
        </w:rPr>
      </w:pPr>
    </w:p>
    <w:p w14:paraId="046C7731" w14:textId="14D9B4B4" w:rsidR="00B92A85" w:rsidRPr="00865D61" w:rsidRDefault="00B92A85" w:rsidP="00B92A85">
      <w:pPr>
        <w:spacing w:after="0" w:line="240" w:lineRule="auto"/>
        <w:jc w:val="both"/>
        <w:rPr>
          <w:rFonts w:ascii="Times New Roman" w:hAnsi="Times New Roman" w:cs="Times New Roman"/>
          <w:sz w:val="24"/>
          <w:szCs w:val="24"/>
        </w:rPr>
      </w:pPr>
      <w:r w:rsidRPr="00865D61">
        <w:rPr>
          <w:rFonts w:ascii="Times New Roman" w:hAnsi="Times New Roman" w:cs="Times New Roman"/>
          <w:sz w:val="24"/>
          <w:szCs w:val="24"/>
        </w:rPr>
        <w:t>The FDA EUA for surgical and/or cloth masks explicitly states, “the labeling must not state or imply… that the [mask] is intended for antimicrobial or antiviral protection or related, or for use such as infection prevention or reduction.”</w:t>
      </w:r>
      <w:r w:rsidRPr="00865D61">
        <w:rPr>
          <w:rFonts w:ascii="Times New Roman" w:hAnsi="Times New Roman" w:cs="Times New Roman"/>
          <w:sz w:val="24"/>
          <w:szCs w:val="24"/>
          <w:vertAlign w:val="superscript"/>
        </w:rPr>
        <w:endnoteReference w:id="26"/>
      </w:r>
      <w:r w:rsidRPr="00865D61">
        <w:rPr>
          <w:rFonts w:ascii="Times New Roman" w:hAnsi="Times New Roman" w:cs="Times New Roman"/>
          <w:sz w:val="24"/>
          <w:szCs w:val="24"/>
        </w:rPr>
        <w:t xml:space="preserve">  </w:t>
      </w:r>
      <w:r w:rsidRPr="00865D61">
        <w:rPr>
          <w:rFonts w:ascii="Times New Roman" w:eastAsia="Times New Roman" w:hAnsi="Times New Roman" w:cs="Times New Roman"/>
          <w:sz w:val="24"/>
          <w:szCs w:val="24"/>
        </w:rPr>
        <w:t xml:space="preserve">As you can see from the image below, masks do not claim to keep </w:t>
      </w:r>
      <w:r w:rsidRPr="00865D61">
        <w:rPr>
          <w:rFonts w:ascii="Times New Roman" w:hAnsi="Times New Roman" w:cs="Times New Roman"/>
          <w:sz w:val="24"/>
          <w:szCs w:val="24"/>
        </w:rPr>
        <w:t xml:space="preserve">out viruses. </w:t>
      </w:r>
    </w:p>
    <w:p w14:paraId="7EF61D61" w14:textId="4014EFAD" w:rsidR="00434CDD" w:rsidRDefault="00434CDD" w:rsidP="00B92A85">
      <w:pPr>
        <w:spacing w:after="0" w:line="240" w:lineRule="auto"/>
        <w:jc w:val="both"/>
        <w:rPr>
          <w:rFonts w:ascii="Times New Roman" w:hAnsi="Times New Roman" w:cs="Times New Roman"/>
          <w:color w:val="000000" w:themeColor="text1"/>
          <w:sz w:val="24"/>
          <w:szCs w:val="24"/>
        </w:rPr>
      </w:pPr>
    </w:p>
    <w:p w14:paraId="7E3BA7FF" w14:textId="77777777" w:rsidR="00E233D2" w:rsidRDefault="00E233D2" w:rsidP="00B92A85">
      <w:pPr>
        <w:spacing w:after="0" w:line="240" w:lineRule="auto"/>
        <w:jc w:val="both"/>
        <w:rPr>
          <w:rFonts w:ascii="Times New Roman" w:hAnsi="Times New Roman" w:cs="Times New Roman"/>
          <w:color w:val="000000" w:themeColor="text1"/>
          <w:sz w:val="24"/>
          <w:szCs w:val="24"/>
        </w:rPr>
      </w:pPr>
    </w:p>
    <w:p w14:paraId="0A981EAB" w14:textId="77777777" w:rsidR="0012116A" w:rsidRDefault="0012116A" w:rsidP="00B92A85">
      <w:pPr>
        <w:spacing w:after="0" w:line="240" w:lineRule="auto"/>
        <w:jc w:val="both"/>
        <w:rPr>
          <w:rFonts w:ascii="Times New Roman" w:hAnsi="Times New Roman" w:cs="Times New Roman"/>
          <w:color w:val="000000" w:themeColor="text1"/>
          <w:sz w:val="24"/>
          <w:szCs w:val="24"/>
        </w:rPr>
      </w:pPr>
    </w:p>
    <w:p w14:paraId="518E984A" w14:textId="0C3909B4" w:rsidR="0012116A" w:rsidRPr="00FB0A50" w:rsidRDefault="00973F0F" w:rsidP="00E37AA0">
      <w:pPr>
        <w:spacing w:after="0" w:line="240" w:lineRule="auto"/>
        <w:jc w:val="center"/>
        <w:rPr>
          <w:rFonts w:ascii="Times" w:hAnsi="Times" w:cs="Times New Roman"/>
          <w:color w:val="000000" w:themeColor="text1"/>
          <w:sz w:val="24"/>
          <w:szCs w:val="24"/>
        </w:rPr>
      </w:pPr>
      <w:r w:rsidRPr="007529E6">
        <w:rPr>
          <w:rFonts w:ascii="Times New Roman" w:eastAsia="Times New Roman" w:hAnsi="Times New Roman" w:cs="Times New Roman"/>
          <w:noProof/>
          <w:sz w:val="24"/>
          <w:szCs w:val="24"/>
        </w:rPr>
        <w:lastRenderedPageBreak/>
        <w:drawing>
          <wp:inline distT="0" distB="0" distL="0" distR="0" wp14:anchorId="42C6FEEC" wp14:editId="672E86F0">
            <wp:extent cx="2855445" cy="2865755"/>
            <wp:effectExtent l="0" t="0" r="254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9262" cy="2879622"/>
                    </a:xfrm>
                    <a:prstGeom prst="rect">
                      <a:avLst/>
                    </a:prstGeom>
                  </pic:spPr>
                </pic:pic>
              </a:graphicData>
            </a:graphic>
          </wp:inline>
        </w:drawing>
      </w:r>
    </w:p>
    <w:p w14:paraId="6AD50054"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5F1503B2"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41F0232D"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06F68CAC"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1FE92658"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0E88CBBC" w14:textId="77777777" w:rsidR="00434CDD" w:rsidRDefault="00434CDD" w:rsidP="00B92A85">
      <w:pPr>
        <w:spacing w:after="0" w:line="240" w:lineRule="auto"/>
        <w:jc w:val="both"/>
        <w:rPr>
          <w:rFonts w:ascii="Times" w:eastAsia="Times New Roman" w:hAnsi="Times" w:cs="Times New Roman"/>
          <w:b/>
          <w:bCs/>
          <w:color w:val="000000" w:themeColor="text1"/>
          <w:sz w:val="24"/>
          <w:szCs w:val="24"/>
          <w:u w:val="single"/>
        </w:rPr>
      </w:pPr>
    </w:p>
    <w:p w14:paraId="66AEFD1B" w14:textId="29BE8F36" w:rsidR="00B92A85" w:rsidRPr="00865D61" w:rsidRDefault="00B92A85" w:rsidP="00B92A85">
      <w:pPr>
        <w:spacing w:after="0" w:line="240" w:lineRule="auto"/>
        <w:jc w:val="both"/>
        <w:rPr>
          <w:rFonts w:ascii="Times" w:eastAsia="Times New Roman" w:hAnsi="Times" w:cs="Times New Roman"/>
          <w:b/>
          <w:bCs/>
          <w:sz w:val="24"/>
          <w:szCs w:val="24"/>
          <w:u w:val="single"/>
        </w:rPr>
      </w:pPr>
      <w:r w:rsidRPr="00865D61">
        <w:rPr>
          <w:rFonts w:ascii="Times" w:eastAsia="Times New Roman" w:hAnsi="Times" w:cs="Times New Roman"/>
          <w:b/>
          <w:bCs/>
          <w:sz w:val="24"/>
          <w:szCs w:val="24"/>
          <w:u w:val="single"/>
        </w:rPr>
        <w:t>Illegally mandating an investigational medical therapy generates liability.</w:t>
      </w:r>
    </w:p>
    <w:p w14:paraId="6230D9F6" w14:textId="77777777" w:rsidR="00B92A85" w:rsidRPr="00865D61" w:rsidRDefault="00B92A85" w:rsidP="00B92A85">
      <w:pPr>
        <w:spacing w:after="0" w:line="240" w:lineRule="auto"/>
        <w:jc w:val="both"/>
        <w:rPr>
          <w:rFonts w:ascii="Times" w:eastAsia="Times New Roman" w:hAnsi="Times" w:cs="Times New Roman"/>
          <w:sz w:val="24"/>
          <w:szCs w:val="24"/>
        </w:rPr>
      </w:pPr>
    </w:p>
    <w:p w14:paraId="07269474" w14:textId="064D047C" w:rsidR="00B92A85" w:rsidRPr="00865D61" w:rsidRDefault="009117C6" w:rsidP="00B92A85">
      <w:pPr>
        <w:spacing w:after="0" w:line="240" w:lineRule="auto"/>
        <w:jc w:val="both"/>
        <w:rPr>
          <w:rFonts w:ascii="Times" w:hAnsi="Times" w:cs="Times New Roman"/>
          <w:sz w:val="24"/>
          <w:szCs w:val="24"/>
        </w:rPr>
      </w:pPr>
      <w:r w:rsidRPr="00865D61">
        <w:rPr>
          <w:rFonts w:ascii="Times" w:eastAsia="Times New Roman" w:hAnsi="Times" w:cs="Times New Roman"/>
          <w:sz w:val="24"/>
          <w:szCs w:val="24"/>
        </w:rPr>
        <w:t>There</w:t>
      </w:r>
      <w:r w:rsidR="00B92A85" w:rsidRPr="00865D61">
        <w:rPr>
          <w:rFonts w:ascii="Times" w:eastAsia="Times New Roman" w:hAnsi="Times" w:cs="Times New Roman"/>
          <w:sz w:val="24"/>
          <w:szCs w:val="24"/>
        </w:rPr>
        <w:t xml:space="preserve"> are proven microbial challenges as well as breathing difficulties that are created and exacerbated by </w:t>
      </w:r>
      <w:r w:rsidRPr="00865D61">
        <w:rPr>
          <w:rFonts w:ascii="Times" w:eastAsia="Times New Roman" w:hAnsi="Times" w:cs="Times New Roman"/>
          <w:sz w:val="24"/>
          <w:szCs w:val="24"/>
        </w:rPr>
        <w:t>extended mask-wearing</w:t>
      </w:r>
      <w:r w:rsidR="00B92A85" w:rsidRPr="00865D61">
        <w:rPr>
          <w:rFonts w:ascii="Times" w:eastAsia="Times New Roman" w:hAnsi="Times" w:cs="Times New Roman"/>
          <w:sz w:val="24"/>
          <w:szCs w:val="24"/>
        </w:rPr>
        <w:t xml:space="preserve">. </w:t>
      </w:r>
    </w:p>
    <w:p w14:paraId="6E19D0B3" w14:textId="77777777" w:rsidR="00B92A85" w:rsidRPr="00865D61" w:rsidRDefault="00B92A85" w:rsidP="00B92A85">
      <w:pPr>
        <w:spacing w:after="0" w:line="240" w:lineRule="auto"/>
        <w:jc w:val="both"/>
        <w:rPr>
          <w:rFonts w:ascii="Times" w:hAnsi="Times" w:cs="Times New Roman"/>
          <w:sz w:val="24"/>
          <w:szCs w:val="24"/>
        </w:rPr>
      </w:pPr>
    </w:p>
    <w:p w14:paraId="6F684375" w14:textId="24FFB793" w:rsidR="00B92A85" w:rsidRPr="00865D61" w:rsidRDefault="00B92A85" w:rsidP="00B92A85">
      <w:pPr>
        <w:spacing w:after="0" w:line="240" w:lineRule="auto"/>
        <w:jc w:val="both"/>
        <w:rPr>
          <w:rFonts w:ascii="Times" w:hAnsi="Times" w:cs="Times New Roman"/>
          <w:sz w:val="24"/>
          <w:szCs w:val="24"/>
        </w:rPr>
      </w:pPr>
      <w:r w:rsidRPr="00865D61">
        <w:rPr>
          <w:rFonts w:ascii="Times" w:hAnsi="Times" w:cs="Times New Roman"/>
          <w:bCs/>
          <w:sz w:val="24"/>
          <w:szCs w:val="24"/>
        </w:rPr>
        <w:t xml:space="preserve">Requiring </w:t>
      </w:r>
      <w:r w:rsidR="00BB314D" w:rsidRPr="00865D61">
        <w:rPr>
          <w:rFonts w:ascii="Times" w:hAnsi="Times" w:cs="Times New Roman"/>
          <w:bCs/>
          <w:sz w:val="24"/>
          <w:szCs w:val="24"/>
        </w:rPr>
        <w:t>patients</w:t>
      </w:r>
      <w:r w:rsidRPr="00865D61">
        <w:rPr>
          <w:rFonts w:ascii="Times" w:hAnsi="Times" w:cs="Times New Roman"/>
          <w:bCs/>
          <w:sz w:val="24"/>
          <w:szCs w:val="24"/>
        </w:rPr>
        <w:t xml:space="preserve"> to wear a mask sets the stage for contracting any infection, including COVID-19, and making the consequences of that infection much graver.   In essence, a mask may very well put </w:t>
      </w:r>
      <w:r w:rsidR="00FE6A62" w:rsidRPr="00865D61">
        <w:rPr>
          <w:rFonts w:ascii="Times" w:hAnsi="Times" w:cs="Times New Roman"/>
          <w:bCs/>
          <w:sz w:val="24"/>
          <w:szCs w:val="24"/>
        </w:rPr>
        <w:t>us</w:t>
      </w:r>
      <w:r w:rsidRPr="00865D61">
        <w:rPr>
          <w:rFonts w:ascii="Times" w:hAnsi="Times" w:cs="Times New Roman"/>
          <w:bCs/>
          <w:sz w:val="24"/>
          <w:szCs w:val="24"/>
        </w:rPr>
        <w:t xml:space="preserve"> at an increased risk of infection, and if so, having a far worse outcome.</w:t>
      </w:r>
      <w:r w:rsidRPr="00865D61">
        <w:rPr>
          <w:rStyle w:val="EndnoteReference"/>
          <w:rFonts w:ascii="Times" w:hAnsi="Times" w:cs="Times New Roman"/>
          <w:bCs/>
          <w:sz w:val="24"/>
          <w:szCs w:val="24"/>
        </w:rPr>
        <w:endnoteReference w:id="27"/>
      </w:r>
      <w:r w:rsidRPr="00865D61">
        <w:rPr>
          <w:rFonts w:ascii="Times" w:hAnsi="Times" w:cs="Times New Roman"/>
          <w:b/>
          <w:sz w:val="24"/>
          <w:szCs w:val="24"/>
        </w:rPr>
        <w:t xml:space="preserve">  </w:t>
      </w:r>
    </w:p>
    <w:p w14:paraId="0DF0D705" w14:textId="77777777" w:rsidR="00B92A85" w:rsidRPr="00865D61" w:rsidRDefault="00B92A85" w:rsidP="00B92A85">
      <w:pPr>
        <w:spacing w:after="0" w:line="240" w:lineRule="auto"/>
        <w:jc w:val="both"/>
        <w:rPr>
          <w:rFonts w:ascii="Times" w:hAnsi="Times"/>
          <w:sz w:val="24"/>
          <w:szCs w:val="24"/>
        </w:rPr>
      </w:pPr>
    </w:p>
    <w:p w14:paraId="6B758380" w14:textId="11FFCBBB" w:rsidR="00B92A85" w:rsidRPr="00865D61" w:rsidRDefault="00B92A85" w:rsidP="00B92A85">
      <w:pPr>
        <w:spacing w:after="0" w:line="240" w:lineRule="auto"/>
        <w:jc w:val="both"/>
        <w:rPr>
          <w:rFonts w:ascii="Times" w:eastAsia="Times New Roman" w:hAnsi="Times" w:cs="Times New Roman"/>
          <w:sz w:val="24"/>
          <w:szCs w:val="24"/>
        </w:rPr>
      </w:pPr>
      <w:r w:rsidRPr="00865D61">
        <w:rPr>
          <w:rFonts w:ascii="Times" w:hAnsi="Times"/>
          <w:sz w:val="24"/>
          <w:szCs w:val="24"/>
        </w:rPr>
        <w:t xml:space="preserve">The fact that mask wearing presents a severe risk of harm to the wearer should – standing alone – not be required for </w:t>
      </w:r>
      <w:r w:rsidR="00F9317F" w:rsidRPr="00865D61">
        <w:rPr>
          <w:rFonts w:ascii="Times" w:hAnsi="Times"/>
          <w:sz w:val="24"/>
          <w:szCs w:val="24"/>
        </w:rPr>
        <w:t>patient’s</w:t>
      </w:r>
      <w:r w:rsidRPr="00865D61">
        <w:rPr>
          <w:rFonts w:ascii="Times" w:hAnsi="Times"/>
          <w:sz w:val="24"/>
          <w:szCs w:val="24"/>
        </w:rPr>
        <w:t>, particularly given th</w:t>
      </w:r>
      <w:r w:rsidR="00910C55" w:rsidRPr="00865D61">
        <w:rPr>
          <w:rFonts w:ascii="Times" w:hAnsi="Times"/>
          <w:sz w:val="24"/>
          <w:szCs w:val="24"/>
        </w:rPr>
        <w:t xml:space="preserve">at we </w:t>
      </w:r>
      <w:r w:rsidRPr="00865D61">
        <w:rPr>
          <w:rFonts w:ascii="Times" w:hAnsi="Times"/>
          <w:sz w:val="24"/>
          <w:szCs w:val="24"/>
        </w:rPr>
        <w:t xml:space="preserve">are not ill and have done nothing wrong that would warrant an infringement of </w:t>
      </w:r>
      <w:r w:rsidR="00910C55" w:rsidRPr="00865D61">
        <w:rPr>
          <w:rFonts w:ascii="Times" w:hAnsi="Times"/>
          <w:sz w:val="24"/>
          <w:szCs w:val="24"/>
        </w:rPr>
        <w:t>our</w:t>
      </w:r>
      <w:r w:rsidRPr="00865D61">
        <w:rPr>
          <w:rFonts w:ascii="Times" w:hAnsi="Times"/>
          <w:sz w:val="24"/>
          <w:szCs w:val="24"/>
        </w:rPr>
        <w:t xml:space="preserve"> constitutional rights and bodily autonomy. Promoting use of a non-FDA approved, Emergency Use Authorized mask, is unwarranted and illegal.  This mandate is in direct conflict with Section 360bbb-3€(1)(A)(ii)(I-III), which requires the wearer to be informed of the option to refuse the wearing of such “device.”  Misrepresenting the use of a mask as being intended for antimicrobial or antiviral protection, and/or misrepresenting masks for use as infection prevention or reduction </w:t>
      </w:r>
      <w:r w:rsidRPr="00865D61">
        <w:rPr>
          <w:rFonts w:ascii="Times" w:eastAsia="Times New Roman" w:hAnsi="Times" w:cs="Times New Roman"/>
          <w:sz w:val="24"/>
          <w:szCs w:val="24"/>
        </w:rPr>
        <w:t xml:space="preserve">is a deceptive practice under the FTC.  It is clear, there is no waiver of liability under deceptive practices, even under a state of emergency.  </w:t>
      </w:r>
      <w:r w:rsidRPr="00865D61">
        <w:rPr>
          <w:rFonts w:ascii="Times" w:hAnsi="Times" w:cs="Times New Roman"/>
          <w:sz w:val="24"/>
          <w:szCs w:val="24"/>
        </w:rPr>
        <w:t xml:space="preserve">As such, forcing </w:t>
      </w:r>
      <w:r w:rsidR="00BB314D" w:rsidRPr="00865D61">
        <w:rPr>
          <w:rFonts w:ascii="Times" w:hAnsi="Times" w:cs="Times New Roman"/>
          <w:sz w:val="24"/>
          <w:szCs w:val="24"/>
        </w:rPr>
        <w:t>patients</w:t>
      </w:r>
      <w:r w:rsidRPr="00865D61">
        <w:rPr>
          <w:rFonts w:ascii="Times" w:hAnsi="Times" w:cs="Times New Roman"/>
          <w:sz w:val="24"/>
          <w:szCs w:val="24"/>
        </w:rPr>
        <w:t xml:space="preserve"> to wear masks</w:t>
      </w:r>
      <w:r w:rsidR="00BB314D" w:rsidRPr="00865D61">
        <w:rPr>
          <w:rFonts w:ascii="Times" w:hAnsi="Times" w:cs="Times New Roman"/>
          <w:sz w:val="24"/>
          <w:szCs w:val="24"/>
        </w:rPr>
        <w:t xml:space="preserve"> as a condition to receive essential medical care</w:t>
      </w:r>
      <w:r w:rsidRPr="00865D61">
        <w:rPr>
          <w:rFonts w:ascii="Times" w:hAnsi="Times" w:cs="Times New Roman"/>
          <w:sz w:val="24"/>
          <w:szCs w:val="24"/>
        </w:rPr>
        <w:t xml:space="preserve">, or similarly forcing use any other non-FDA approved medical product without the </w:t>
      </w:r>
      <w:r w:rsidR="00910C55" w:rsidRPr="00865D61">
        <w:rPr>
          <w:rFonts w:ascii="Times" w:hAnsi="Times"/>
          <w:sz w:val="24"/>
          <w:szCs w:val="24"/>
        </w:rPr>
        <w:t>wearer’s</w:t>
      </w:r>
      <w:r w:rsidRPr="00865D61">
        <w:rPr>
          <w:rFonts w:ascii="Times" w:hAnsi="Times"/>
          <w:sz w:val="24"/>
          <w:szCs w:val="24"/>
        </w:rPr>
        <w:t xml:space="preserve"> </w:t>
      </w:r>
      <w:r w:rsidRPr="00865D61">
        <w:rPr>
          <w:rFonts w:ascii="Times" w:hAnsi="Times" w:cs="Times New Roman"/>
          <w:sz w:val="24"/>
          <w:szCs w:val="24"/>
        </w:rPr>
        <w:t xml:space="preserve">consent, is illegal and immoral.   </w:t>
      </w:r>
    </w:p>
    <w:p w14:paraId="188814A8" w14:textId="74506816" w:rsidR="00B92A85" w:rsidRPr="00865D61" w:rsidRDefault="00B92A85"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 xml:space="preserve">This letter serves as official notice that </w:t>
      </w:r>
      <w:r w:rsidR="00910C55" w:rsidRPr="00865D61">
        <w:rPr>
          <w:rFonts w:ascii="Times" w:eastAsia="Times New Roman" w:hAnsi="Times" w:cs="Times New Roman"/>
          <w:sz w:val="24"/>
          <w:szCs w:val="24"/>
        </w:rPr>
        <w:t>I do</w:t>
      </w:r>
      <w:r w:rsidRPr="00865D61">
        <w:rPr>
          <w:rFonts w:ascii="Times" w:eastAsia="Times New Roman" w:hAnsi="Times" w:cs="Times New Roman"/>
          <w:sz w:val="24"/>
          <w:szCs w:val="24"/>
        </w:rPr>
        <w:t xml:space="preserve"> not consent to being forced to wear a mask</w:t>
      </w:r>
      <w:r w:rsidR="00BB314D" w:rsidRPr="00865D61">
        <w:rPr>
          <w:rFonts w:ascii="Times" w:eastAsia="Times New Roman" w:hAnsi="Times" w:cs="Times New Roman"/>
          <w:sz w:val="24"/>
          <w:szCs w:val="24"/>
        </w:rPr>
        <w:t xml:space="preserve"> as a condition of receiving essential</w:t>
      </w:r>
      <w:r w:rsidR="00686762">
        <w:rPr>
          <w:rFonts w:ascii="Times" w:eastAsia="Times New Roman" w:hAnsi="Times" w:cs="Times New Roman"/>
          <w:sz w:val="24"/>
          <w:szCs w:val="24"/>
        </w:rPr>
        <w:t xml:space="preserve"> medically essential</w:t>
      </w:r>
      <w:r w:rsidR="00BB314D" w:rsidRPr="00865D61">
        <w:rPr>
          <w:rFonts w:ascii="Times" w:eastAsia="Times New Roman" w:hAnsi="Times" w:cs="Times New Roman"/>
          <w:sz w:val="24"/>
          <w:szCs w:val="24"/>
        </w:rPr>
        <w:t xml:space="preserve"> healthcare services</w:t>
      </w:r>
      <w:r w:rsidRPr="00865D61">
        <w:rPr>
          <w:rFonts w:ascii="Times" w:eastAsia="Times New Roman" w:hAnsi="Times" w:cs="Times New Roman"/>
          <w:sz w:val="24"/>
          <w:szCs w:val="24"/>
        </w:rPr>
        <w:t xml:space="preserve">. </w:t>
      </w:r>
      <w:r w:rsidR="00910C55" w:rsidRPr="00865D61">
        <w:rPr>
          <w:rFonts w:ascii="Times" w:eastAsia="Times New Roman" w:hAnsi="Times" w:cs="Times New Roman"/>
          <w:sz w:val="24"/>
          <w:szCs w:val="24"/>
        </w:rPr>
        <w:t xml:space="preserve">I </w:t>
      </w:r>
      <w:r w:rsidRPr="00865D61">
        <w:rPr>
          <w:rFonts w:ascii="Times" w:eastAsia="Times New Roman" w:hAnsi="Times" w:cs="Times New Roman"/>
          <w:sz w:val="24"/>
          <w:szCs w:val="24"/>
        </w:rPr>
        <w:t>will not fail to take the maximum action permissible under the law against your organization, and against you personally</w:t>
      </w:r>
      <w:r w:rsidR="00865D61" w:rsidRPr="00865D61">
        <w:rPr>
          <w:rFonts w:ascii="Times" w:eastAsia="Times New Roman" w:hAnsi="Times" w:cs="Times New Roman"/>
          <w:sz w:val="24"/>
          <w:szCs w:val="24"/>
        </w:rPr>
        <w:t xml:space="preserve"> if you continue to force an experimental medical procedure on me as a condition for </w:t>
      </w:r>
      <w:r w:rsidR="00686762">
        <w:rPr>
          <w:rFonts w:ascii="Times" w:eastAsia="Times New Roman" w:hAnsi="Times" w:cs="Times New Roman"/>
          <w:sz w:val="24"/>
          <w:szCs w:val="24"/>
        </w:rPr>
        <w:t xml:space="preserve">medically </w:t>
      </w:r>
      <w:r w:rsidR="00865D61" w:rsidRPr="00865D61">
        <w:rPr>
          <w:rFonts w:ascii="Times" w:eastAsia="Times New Roman" w:hAnsi="Times" w:cs="Times New Roman"/>
          <w:sz w:val="24"/>
          <w:szCs w:val="24"/>
        </w:rPr>
        <w:t>essential healthcare services</w:t>
      </w:r>
      <w:r w:rsidRPr="00865D61">
        <w:rPr>
          <w:rFonts w:ascii="Times" w:eastAsia="Times New Roman" w:hAnsi="Times" w:cs="Times New Roman"/>
          <w:sz w:val="24"/>
          <w:szCs w:val="24"/>
        </w:rPr>
        <w:t xml:space="preserve">.  Accordingly, </w:t>
      </w:r>
      <w:r w:rsidR="00047181" w:rsidRPr="00865D61">
        <w:rPr>
          <w:rFonts w:ascii="Times" w:eastAsia="Times New Roman" w:hAnsi="Times" w:cs="Times New Roman"/>
          <w:sz w:val="24"/>
          <w:szCs w:val="24"/>
        </w:rPr>
        <w:t>I</w:t>
      </w:r>
      <w:r w:rsidRPr="00865D61">
        <w:rPr>
          <w:rFonts w:ascii="Times" w:eastAsia="Times New Roman" w:hAnsi="Times" w:cs="Times New Roman"/>
          <w:sz w:val="24"/>
          <w:szCs w:val="24"/>
        </w:rPr>
        <w:t xml:space="preserve"> urge you to comply with Federal and State la</w:t>
      </w:r>
      <w:r w:rsidR="00057C99" w:rsidRPr="00865D61">
        <w:rPr>
          <w:rFonts w:ascii="Times" w:eastAsia="Times New Roman" w:hAnsi="Times" w:cs="Times New Roman"/>
          <w:sz w:val="24"/>
          <w:szCs w:val="24"/>
        </w:rPr>
        <w:t>w</w:t>
      </w:r>
      <w:r w:rsidR="00047181" w:rsidRPr="00865D61">
        <w:rPr>
          <w:rFonts w:ascii="Times" w:eastAsia="Times New Roman" w:hAnsi="Times" w:cs="Times New Roman"/>
          <w:sz w:val="24"/>
          <w:szCs w:val="24"/>
        </w:rPr>
        <w:t>,</w:t>
      </w:r>
      <w:r w:rsidRPr="00865D61">
        <w:rPr>
          <w:rFonts w:ascii="Times" w:eastAsia="Times New Roman" w:hAnsi="Times" w:cs="Times New Roman"/>
          <w:sz w:val="24"/>
          <w:szCs w:val="24"/>
        </w:rPr>
        <w:t xml:space="preserve"> and advise </w:t>
      </w:r>
      <w:r w:rsidR="00F9317F" w:rsidRPr="00865D61">
        <w:rPr>
          <w:rFonts w:ascii="Times" w:eastAsia="Times New Roman" w:hAnsi="Times" w:cs="Times New Roman"/>
          <w:sz w:val="24"/>
          <w:szCs w:val="24"/>
        </w:rPr>
        <w:t>patients</w:t>
      </w:r>
      <w:r w:rsidRPr="00865D61">
        <w:rPr>
          <w:rFonts w:ascii="Times" w:eastAsia="Times New Roman" w:hAnsi="Times" w:cs="Times New Roman"/>
          <w:sz w:val="24"/>
          <w:szCs w:val="24"/>
        </w:rPr>
        <w:t xml:space="preserve"> they have a right to refuse or wear a mask as a measure to prevent or reduce infection from </w:t>
      </w:r>
      <w:r w:rsidR="00910C55" w:rsidRPr="00865D61">
        <w:rPr>
          <w:rFonts w:ascii="Times" w:eastAsia="Times New Roman" w:hAnsi="Times" w:cs="Times New Roman"/>
          <w:sz w:val="24"/>
          <w:szCs w:val="24"/>
        </w:rPr>
        <w:t>Covid</w:t>
      </w:r>
      <w:r w:rsidRPr="00865D61">
        <w:rPr>
          <w:rFonts w:ascii="Times" w:eastAsia="Times New Roman" w:hAnsi="Times" w:cs="Times New Roman"/>
          <w:sz w:val="24"/>
          <w:szCs w:val="24"/>
        </w:rPr>
        <w:t xml:space="preserve">-19.  Any other course of action is contrary to the law.  </w:t>
      </w:r>
      <w:r w:rsidR="00047181" w:rsidRPr="00865D61">
        <w:rPr>
          <w:rFonts w:ascii="Times" w:eastAsia="Times New Roman" w:hAnsi="Times" w:cs="Times New Roman"/>
          <w:sz w:val="24"/>
          <w:szCs w:val="24"/>
        </w:rPr>
        <w:t>I am</w:t>
      </w:r>
      <w:r w:rsidRPr="00865D61">
        <w:rPr>
          <w:rFonts w:ascii="Times" w:eastAsia="Times New Roman" w:hAnsi="Times" w:cs="Times New Roman"/>
          <w:sz w:val="24"/>
          <w:szCs w:val="24"/>
        </w:rPr>
        <w:t xml:space="preserve"> willing to </w:t>
      </w:r>
      <w:r w:rsidRPr="00865D61">
        <w:rPr>
          <w:rFonts w:ascii="Times" w:eastAsia="Times New Roman" w:hAnsi="Times" w:cs="Times New Roman"/>
          <w:sz w:val="24"/>
          <w:szCs w:val="24"/>
        </w:rPr>
        <w:lastRenderedPageBreak/>
        <w:t xml:space="preserve">testify as to the veracity of the contents in this document.  Please confirm no further pressure will be exerted upon </w:t>
      </w:r>
      <w:r w:rsidR="00910C55" w:rsidRPr="00865D61">
        <w:rPr>
          <w:rFonts w:ascii="Times" w:eastAsia="Times New Roman" w:hAnsi="Times" w:cs="Times New Roman"/>
          <w:sz w:val="24"/>
          <w:szCs w:val="24"/>
        </w:rPr>
        <w:t>me</w:t>
      </w:r>
      <w:r w:rsidRPr="00865D61">
        <w:rPr>
          <w:rFonts w:ascii="Times" w:eastAsia="Times New Roman" w:hAnsi="Times" w:cs="Times New Roman"/>
          <w:sz w:val="24"/>
          <w:szCs w:val="24"/>
        </w:rPr>
        <w:t xml:space="preserve"> to follow this illegal mask mandate</w:t>
      </w:r>
      <w:r w:rsidR="00BB314D" w:rsidRPr="00865D61">
        <w:rPr>
          <w:rFonts w:ascii="Times" w:eastAsia="Times New Roman" w:hAnsi="Times" w:cs="Times New Roman"/>
          <w:sz w:val="24"/>
          <w:szCs w:val="24"/>
        </w:rPr>
        <w:t xml:space="preserve"> as a condition to receive essential healthcare services and that </w:t>
      </w:r>
      <w:r w:rsidR="00910C55" w:rsidRPr="00865D61">
        <w:rPr>
          <w:rFonts w:ascii="Times" w:eastAsia="Times New Roman" w:hAnsi="Times" w:cs="Times New Roman"/>
          <w:sz w:val="24"/>
          <w:szCs w:val="24"/>
        </w:rPr>
        <w:t>I</w:t>
      </w:r>
      <w:r w:rsidRPr="00865D61">
        <w:rPr>
          <w:rFonts w:ascii="Times" w:eastAsia="Times New Roman" w:hAnsi="Times" w:cs="Times New Roman"/>
          <w:sz w:val="24"/>
          <w:szCs w:val="24"/>
        </w:rPr>
        <w:t xml:space="preserve"> will not face any retaliatory action</w:t>
      </w:r>
      <w:r w:rsidR="00BB314D" w:rsidRPr="00865D61">
        <w:rPr>
          <w:rFonts w:ascii="Times" w:eastAsia="Times New Roman" w:hAnsi="Times" w:cs="Times New Roman"/>
          <w:sz w:val="24"/>
          <w:szCs w:val="24"/>
        </w:rPr>
        <w:t xml:space="preserve"> for seeking an accommodation</w:t>
      </w:r>
      <w:r w:rsidRPr="00865D61">
        <w:rPr>
          <w:rFonts w:ascii="Times" w:eastAsia="Times New Roman" w:hAnsi="Times" w:cs="Times New Roman"/>
          <w:sz w:val="24"/>
          <w:szCs w:val="24"/>
        </w:rPr>
        <w:t>.</w:t>
      </w:r>
    </w:p>
    <w:p w14:paraId="7ECBBE88" w14:textId="65816B57" w:rsidR="00BB314D" w:rsidRPr="00865D61" w:rsidRDefault="00BB314D"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 xml:space="preserve">Again, I am not looking for conflict. I am simply asserting that forcing either an experimental medical procedure or symbolic speech can’t be a condition to receiving </w:t>
      </w:r>
      <w:r w:rsidR="00686762">
        <w:rPr>
          <w:rFonts w:ascii="Times" w:eastAsia="Times New Roman" w:hAnsi="Times" w:cs="Times New Roman"/>
          <w:sz w:val="24"/>
          <w:szCs w:val="24"/>
        </w:rPr>
        <w:t xml:space="preserve">medically </w:t>
      </w:r>
      <w:r w:rsidRPr="00865D61">
        <w:rPr>
          <w:rFonts w:ascii="Times" w:eastAsia="Times New Roman" w:hAnsi="Times" w:cs="Times New Roman"/>
          <w:sz w:val="24"/>
          <w:szCs w:val="24"/>
        </w:rPr>
        <w:t xml:space="preserve">essential healthcare services. I am simply seeking an accommodation </w:t>
      </w:r>
      <w:r w:rsidR="00865D61" w:rsidRPr="00865D61">
        <w:rPr>
          <w:rFonts w:ascii="Times" w:eastAsia="Times New Roman" w:hAnsi="Times" w:cs="Times New Roman"/>
          <w:sz w:val="24"/>
          <w:szCs w:val="24"/>
        </w:rPr>
        <w:t xml:space="preserve">as I can’t safely wear a face mask </w:t>
      </w:r>
      <w:r w:rsidRPr="00865D61">
        <w:rPr>
          <w:rFonts w:ascii="Times" w:eastAsia="Times New Roman" w:hAnsi="Times" w:cs="Times New Roman"/>
          <w:sz w:val="24"/>
          <w:szCs w:val="24"/>
        </w:rPr>
        <w:t xml:space="preserve">and </w:t>
      </w:r>
      <w:r w:rsidR="00865D61" w:rsidRPr="00865D61">
        <w:rPr>
          <w:rFonts w:ascii="Times" w:eastAsia="Times New Roman" w:hAnsi="Times" w:cs="Times New Roman"/>
          <w:sz w:val="24"/>
          <w:szCs w:val="24"/>
        </w:rPr>
        <w:t xml:space="preserve">I </w:t>
      </w:r>
      <w:r w:rsidRPr="00865D61">
        <w:rPr>
          <w:rFonts w:ascii="Times" w:eastAsia="Times New Roman" w:hAnsi="Times" w:cs="Times New Roman"/>
          <w:sz w:val="24"/>
          <w:szCs w:val="24"/>
        </w:rPr>
        <w:t xml:space="preserve">have provided </w:t>
      </w:r>
      <w:r w:rsidR="00686762">
        <w:rPr>
          <w:rFonts w:ascii="Times" w:eastAsia="Times New Roman" w:hAnsi="Times" w:cs="Times New Roman"/>
          <w:sz w:val="24"/>
          <w:szCs w:val="24"/>
        </w:rPr>
        <w:t xml:space="preserve">a </w:t>
      </w:r>
      <w:r w:rsidRPr="00865D61">
        <w:rPr>
          <w:rFonts w:ascii="Times" w:eastAsia="Times New Roman" w:hAnsi="Times" w:cs="Times New Roman"/>
          <w:sz w:val="24"/>
          <w:szCs w:val="24"/>
        </w:rPr>
        <w:t>scientific basis for my request.</w:t>
      </w:r>
      <w:r w:rsidR="00865D61" w:rsidRPr="00865D61">
        <w:rPr>
          <w:rFonts w:ascii="Times" w:eastAsia="Times New Roman" w:hAnsi="Times" w:cs="Times New Roman"/>
          <w:sz w:val="24"/>
          <w:szCs w:val="24"/>
        </w:rPr>
        <w:t xml:space="preserve"> </w:t>
      </w:r>
    </w:p>
    <w:p w14:paraId="27E286A9" w14:textId="77777777" w:rsidR="00BB314D" w:rsidRPr="00865D61" w:rsidRDefault="00BB314D"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p>
    <w:p w14:paraId="7EF0E5C1" w14:textId="77777777" w:rsidR="00EA09E1" w:rsidRPr="00865D61" w:rsidRDefault="00EA09E1"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p>
    <w:p w14:paraId="378D3D9C" w14:textId="2C8D584A" w:rsidR="00B92A85" w:rsidRPr="00865D61" w:rsidRDefault="00B92A85"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r w:rsidRPr="00865D61">
        <w:rPr>
          <w:rFonts w:ascii="Times" w:eastAsia="Times New Roman" w:hAnsi="Times" w:cs="Times New Roman"/>
          <w:sz w:val="24"/>
          <w:szCs w:val="24"/>
        </w:rPr>
        <w:t>Sincerely,</w:t>
      </w:r>
    </w:p>
    <w:p w14:paraId="4D4D4C0B" w14:textId="5F50DE07" w:rsidR="00EA21CD" w:rsidRPr="00865D61" w:rsidRDefault="00E32815" w:rsidP="00B92A85">
      <w:pPr>
        <w:shd w:val="clear" w:color="auto" w:fill="FFFFFF"/>
        <w:spacing w:before="100" w:beforeAutospacing="1" w:after="100" w:afterAutospacing="1" w:line="240" w:lineRule="auto"/>
        <w:jc w:val="both"/>
        <w:rPr>
          <w:rFonts w:ascii="Times" w:eastAsia="Times New Roman" w:hAnsi="Times" w:cs="Times New Roman"/>
          <w:sz w:val="24"/>
          <w:szCs w:val="24"/>
        </w:rPr>
      </w:pPr>
      <w:r>
        <w:rPr>
          <w:rFonts w:ascii="Times" w:eastAsia="Times New Roman" w:hAnsi="Times" w:cs="Times New Roman"/>
          <w:sz w:val="24"/>
          <w:szCs w:val="24"/>
        </w:rPr>
        <w:t>J.S.</w:t>
      </w:r>
      <w:bookmarkStart w:id="0" w:name="_GoBack"/>
      <w:bookmarkEnd w:id="0"/>
      <w:r w:rsidR="0049333B" w:rsidRPr="00865D61">
        <w:rPr>
          <w:rFonts w:ascii="Times" w:eastAsia="Times New Roman" w:hAnsi="Times" w:cs="Times New Roman"/>
          <w:sz w:val="24"/>
          <w:szCs w:val="24"/>
        </w:rPr>
        <w:t xml:space="preserve">, M.S., PhD, </w:t>
      </w:r>
    </w:p>
    <w:p w14:paraId="7C24F9DE" w14:textId="0DF511B5" w:rsidR="00DD70C1" w:rsidRDefault="00E32815"/>
    <w:p w14:paraId="0DB514D7" w14:textId="42D207BA" w:rsidR="00EA09E1" w:rsidRDefault="00EA09E1"/>
    <w:p w14:paraId="0E7F3D38" w14:textId="77777777" w:rsidR="00434CDD" w:rsidRDefault="00434CDD"/>
    <w:p w14:paraId="02C60A22" w14:textId="027F7C84" w:rsidR="00EA09E1" w:rsidRDefault="00EA09E1"/>
    <w:p w14:paraId="79211AA3" w14:textId="66752965" w:rsidR="00973F0F" w:rsidRDefault="00973F0F"/>
    <w:p w14:paraId="37C1F1B7" w14:textId="77777777" w:rsidR="0012116A" w:rsidRDefault="0012116A"/>
    <w:sectPr w:rsidR="0012116A" w:rsidSect="005071E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8AF43" w14:textId="77777777" w:rsidR="00991687" w:rsidRDefault="00991687" w:rsidP="00B92A85">
      <w:pPr>
        <w:spacing w:after="0" w:line="240" w:lineRule="auto"/>
      </w:pPr>
      <w:r>
        <w:separator/>
      </w:r>
    </w:p>
  </w:endnote>
  <w:endnote w:type="continuationSeparator" w:id="0">
    <w:p w14:paraId="1CC35B07" w14:textId="77777777" w:rsidR="00991687" w:rsidRDefault="00991687" w:rsidP="00B92A85">
      <w:pPr>
        <w:spacing w:after="0" w:line="240" w:lineRule="auto"/>
      </w:pPr>
      <w:r>
        <w:continuationSeparator/>
      </w:r>
    </w:p>
  </w:endnote>
  <w:endnote w:id="1">
    <w:p w14:paraId="30777611" w14:textId="6CAFF232" w:rsidR="00B92A85" w:rsidRPr="00170859" w:rsidRDefault="0006187B" w:rsidP="00B92A85">
      <w:pPr>
        <w:pStyle w:val="EndnoteText"/>
        <w:rPr>
          <w:rFonts w:ascii="Times" w:hAnsi="Times"/>
        </w:rPr>
      </w:pPr>
      <w:r>
        <w:rPr>
          <w:rStyle w:val="EndnoteReference"/>
        </w:rPr>
        <w:endnoteRef/>
      </w:r>
      <w:r w:rsidR="00B92A85" w:rsidRPr="00E42B45">
        <w:rPr>
          <w:rFonts w:ascii="Times" w:hAnsi="Times"/>
        </w:rPr>
        <w:t xml:space="preserve"> </w:t>
      </w:r>
      <w:r w:rsidR="00B92A85" w:rsidRPr="00170859">
        <w:rPr>
          <w:rFonts w:ascii="Times" w:hAnsi="Times"/>
        </w:rPr>
        <w:t>https://www.jamanetwork.com/article.aspx?doi=10.1001/jamainternmed.2020.4221</w:t>
      </w:r>
    </w:p>
  </w:endnote>
  <w:endnote w:id="2">
    <w:p w14:paraId="71F93F71" w14:textId="77777777" w:rsidR="00B92A85" w:rsidRPr="00170859" w:rsidRDefault="00B92A85" w:rsidP="00B92A85">
      <w:pPr>
        <w:pStyle w:val="EndnoteText"/>
        <w:contextualSpacing/>
        <w:rPr>
          <w:rFonts w:ascii="Times" w:hAnsi="Times"/>
          <w:i/>
          <w:iCs/>
        </w:rPr>
      </w:pPr>
      <w:r w:rsidRPr="00170859">
        <w:rPr>
          <w:rStyle w:val="EndnoteReference"/>
          <w:rFonts w:ascii="Times" w:hAnsi="Times"/>
        </w:rPr>
        <w:endnoteRef/>
      </w:r>
      <w:r w:rsidRPr="00170859">
        <w:rPr>
          <w:rFonts w:ascii="Times" w:hAnsi="Times"/>
        </w:rPr>
        <w:t xml:space="preserve"> Berenson, A (November 24, 2020). </w:t>
      </w:r>
      <w:r w:rsidRPr="00170859">
        <w:rPr>
          <w:rFonts w:ascii="Times" w:hAnsi="Times"/>
          <w:i/>
          <w:iCs/>
        </w:rPr>
        <w:t>Unreported Truths about Covid-19 and Lockdowns: Part 3: Masks</w:t>
      </w:r>
    </w:p>
  </w:endnote>
  <w:endnote w:id="3">
    <w:p w14:paraId="0203C705"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https://www.acpjournals.org/doi/10.7326/M20-6817</w:t>
      </w:r>
    </w:p>
  </w:endnote>
  <w:endnote w:id="4">
    <w:p w14:paraId="65F6ACC2" w14:textId="77777777" w:rsidR="00B92A85" w:rsidRPr="00170859" w:rsidRDefault="00B92A85" w:rsidP="00B92A85">
      <w:pPr>
        <w:pStyle w:val="EndnoteText"/>
        <w:rPr>
          <w:rFonts w:ascii="Times" w:hAnsi="Times"/>
        </w:rPr>
      </w:pPr>
      <w:r w:rsidRPr="00170859">
        <w:rPr>
          <w:rStyle w:val="EndnoteReference"/>
          <w:rFonts w:ascii="Times" w:hAnsi="Times"/>
        </w:rPr>
        <w:endnoteRef/>
      </w:r>
      <w:r w:rsidRPr="00170859">
        <w:rPr>
          <w:rFonts w:ascii="Times" w:hAnsi="Times"/>
        </w:rPr>
        <w:t xml:space="preserve"> https://www.thelanced.com/journals.lanres/article/PIIS2213-2600(20)30323-4/fulltext</w:t>
      </w:r>
    </w:p>
  </w:endnote>
  <w:endnote w:id="5">
    <w:p w14:paraId="434E732F"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https://www.thelanced.com/journals.lanres/article/PIIS2213-2600(20)30323-4/fulltext</w:t>
      </w:r>
    </w:p>
  </w:endnote>
  <w:endnote w:id="6">
    <w:p w14:paraId="33A5A159"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https://www.sciencedaily.com/releases/2009/03/090313150254.htm</w:t>
      </w:r>
    </w:p>
  </w:endnote>
  <w:endnote w:id="7">
    <w:p w14:paraId="742BB3E9" w14:textId="77777777" w:rsidR="00B92A85" w:rsidRPr="00170859" w:rsidRDefault="00B92A85" w:rsidP="00B92A85">
      <w:pPr>
        <w:pStyle w:val="NormalWeb"/>
        <w:shd w:val="clear" w:color="auto" w:fill="FFFFFF"/>
        <w:spacing w:after="0" w:line="240" w:lineRule="auto"/>
        <w:contextualSpacing/>
        <w:rPr>
          <w:rFonts w:ascii="Times" w:hAnsi="Times"/>
          <w:sz w:val="20"/>
          <w:szCs w:val="20"/>
        </w:rPr>
      </w:pPr>
      <w:r w:rsidRPr="00170859">
        <w:rPr>
          <w:rStyle w:val="EndnoteReference"/>
          <w:rFonts w:ascii="Times" w:hAnsi="Times"/>
          <w:sz w:val="20"/>
          <w:szCs w:val="20"/>
        </w:rPr>
        <w:endnoteRef/>
      </w:r>
      <w:r w:rsidRPr="00170859">
        <w:rPr>
          <w:rFonts w:ascii="Times" w:hAnsi="Times"/>
          <w:sz w:val="20"/>
          <w:szCs w:val="20"/>
        </w:rPr>
        <w:t xml:space="preserve"> </w:t>
      </w:r>
      <w:r w:rsidRPr="00170859">
        <w:rPr>
          <w:rFonts w:ascii="Times" w:hAnsi="Times"/>
          <w:color w:val="333333"/>
          <w:sz w:val="20"/>
          <w:szCs w:val="20"/>
        </w:rPr>
        <w:t xml:space="preserve">https://www.ncbi.nlm.nih.gov/pmc/articles/PMC4420971/ </w:t>
      </w:r>
    </w:p>
  </w:endnote>
  <w:endnote w:id="8">
    <w:p w14:paraId="4BA1F704"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https://www.merriam-webster.com/words-at-play/virus-vs-bacteria-difference</w:t>
      </w:r>
    </w:p>
  </w:endnote>
  <w:endnote w:id="9">
    <w:p w14:paraId="1F8E3A95"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The pathology and bacteriology of pneumonia following influenza. Chapter IV, Epidemic respiratory disease. The pneumonias and other infections of the respiratory tract accompanying influenza and measles, 1921 St, LouisCV Mosby (p. 107-281)</w:t>
      </w:r>
    </w:p>
  </w:endnote>
  <w:endnote w:id="10">
    <w:p w14:paraId="2E6A2FB6"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https://academic.oup.com/jid/article/198/7/962/2192118</w:t>
      </w:r>
    </w:p>
  </w:endnote>
  <w:endnote w:id="11">
    <w:p w14:paraId="3AB51AD4" w14:textId="77777777" w:rsidR="00B92A85" w:rsidRPr="00170859" w:rsidRDefault="00B92A85" w:rsidP="00B92A85">
      <w:pPr>
        <w:pStyle w:val="NormalWeb"/>
        <w:shd w:val="clear" w:color="auto" w:fill="FFFFFF"/>
        <w:spacing w:after="0" w:line="240" w:lineRule="auto"/>
        <w:contextualSpacing/>
        <w:rPr>
          <w:rFonts w:ascii="Times" w:hAnsi="Times"/>
          <w:sz w:val="20"/>
          <w:szCs w:val="20"/>
        </w:rPr>
      </w:pPr>
      <w:r w:rsidRPr="00170859">
        <w:rPr>
          <w:rStyle w:val="EndnoteReference"/>
          <w:rFonts w:ascii="Times" w:hAnsi="Times"/>
          <w:sz w:val="20"/>
          <w:szCs w:val="20"/>
        </w:rPr>
        <w:endnoteRef/>
      </w:r>
      <w:r w:rsidRPr="00170859">
        <w:rPr>
          <w:rFonts w:ascii="Times" w:hAnsi="Times"/>
          <w:sz w:val="20"/>
          <w:szCs w:val="20"/>
        </w:rPr>
        <w:t xml:space="preserve"> </w:t>
      </w:r>
      <w:r w:rsidRPr="00170859">
        <w:rPr>
          <w:rFonts w:ascii="Times" w:hAnsi="Times"/>
          <w:color w:val="333333"/>
          <w:sz w:val="20"/>
          <w:szCs w:val="20"/>
        </w:rPr>
        <w:t xml:space="preserve">https://www.cdc.gov/coronavirus/2019-ncov/prevent-getting-sick/cloth-face-cover-guidance.html </w:t>
      </w:r>
    </w:p>
  </w:endnote>
  <w:endnote w:id="12">
    <w:p w14:paraId="50D31C51" w14:textId="77777777" w:rsidR="00B92A85" w:rsidRPr="00170859" w:rsidRDefault="00B92A85" w:rsidP="00B92A85">
      <w:pPr>
        <w:spacing w:after="0" w:line="240" w:lineRule="auto"/>
        <w:contextualSpacing/>
        <w:rPr>
          <w:rFonts w:ascii="Times" w:hAnsi="Times" w:cs="Times New Roman"/>
          <w:sz w:val="20"/>
          <w:szCs w:val="20"/>
        </w:rPr>
      </w:pPr>
      <w:r w:rsidRPr="00170859">
        <w:rPr>
          <w:rStyle w:val="EndnoteReference"/>
          <w:rFonts w:ascii="Times" w:hAnsi="Times" w:cs="Times New Roman"/>
          <w:sz w:val="20"/>
          <w:szCs w:val="20"/>
        </w:rPr>
        <w:endnoteRef/>
      </w:r>
      <w:r w:rsidRPr="00170859">
        <w:rPr>
          <w:rFonts w:ascii="Times" w:hAnsi="Times" w:cs="Times New Roman"/>
          <w:sz w:val="20"/>
          <w:szCs w:val="20"/>
        </w:rPr>
        <w:t xml:space="preserve"> Nonpharmaceutical Measures for Pandemic Influenza in Nonhealthcare Settings—Personal Protective and Environmental Measures, Jingyi Xiao1, Eunice Y. C. Shiu1, Huizhi Gao, Jessica Y. Wong, Min W. Fong, Sukhyun Ryu, and Benjamin J. Cowling (Volume 26, Number 5, May of 2020).</w:t>
      </w:r>
    </w:p>
  </w:endnote>
  <w:endnote w:id="13">
    <w:p w14:paraId="6178C118"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https://www.youtube.com/watch?v=X1orSO094uY</w:t>
      </w:r>
    </w:p>
  </w:endnote>
  <w:endnote w:id="14">
    <w:p w14:paraId="709496E6" w14:textId="77777777" w:rsidR="00B92A85" w:rsidRPr="00170859" w:rsidRDefault="00B92A85" w:rsidP="00B92A85">
      <w:pPr>
        <w:spacing w:after="0" w:line="240" w:lineRule="auto"/>
        <w:contextualSpacing/>
        <w:rPr>
          <w:rFonts w:ascii="Times" w:hAnsi="Times" w:cs="Times New Roman"/>
          <w:sz w:val="20"/>
          <w:szCs w:val="20"/>
        </w:rPr>
      </w:pPr>
      <w:r w:rsidRPr="00170859">
        <w:rPr>
          <w:rStyle w:val="EndnoteReference"/>
          <w:rFonts w:ascii="Times" w:hAnsi="Times" w:cs="Times New Roman"/>
          <w:sz w:val="20"/>
          <w:szCs w:val="20"/>
        </w:rPr>
        <w:endnoteRef/>
      </w:r>
      <w:r w:rsidRPr="00170859">
        <w:rPr>
          <w:rFonts w:ascii="Times" w:hAnsi="Times" w:cs="Times New Roman"/>
          <w:sz w:val="20"/>
          <w:szCs w:val="20"/>
        </w:rPr>
        <w:t xml:space="preserve"> Arthur Johnson, Journal of Biological Engineering (2016).  </w:t>
      </w:r>
    </w:p>
  </w:endnote>
  <w:endnote w:id="15">
    <w:p w14:paraId="0F6DE5F3"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The Physiological Impact of N95 Masks on Medical Staff, National Taiwan University Hospital (June 2005).  </w:t>
      </w:r>
    </w:p>
  </w:endnote>
  <w:endnote w:id="16">
    <w:p w14:paraId="061B6071"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Bader A et al. Preliminary report on surgical mask induced deoxygenation during major surgery. Neurocirugia 2008;19:12-126..</w:t>
      </w:r>
    </w:p>
  </w:endnote>
  <w:endnote w:id="17">
    <w:p w14:paraId="634F7543" w14:textId="77777777" w:rsidR="00B92A85" w:rsidRPr="00170859" w:rsidRDefault="00B92A85" w:rsidP="00B92A85">
      <w:pPr>
        <w:spacing w:line="240" w:lineRule="auto"/>
        <w:contextualSpacing/>
        <w:rPr>
          <w:rFonts w:ascii="Times" w:hAnsi="Times" w:cs="Times New Roman"/>
          <w:sz w:val="20"/>
          <w:szCs w:val="20"/>
        </w:rPr>
      </w:pPr>
      <w:r w:rsidRPr="00170859">
        <w:rPr>
          <w:rStyle w:val="EndnoteReference"/>
          <w:rFonts w:ascii="Times" w:hAnsi="Times" w:cs="Times New Roman"/>
          <w:sz w:val="20"/>
          <w:szCs w:val="20"/>
        </w:rPr>
        <w:endnoteRef/>
      </w:r>
      <w:r w:rsidRPr="00170859">
        <w:rPr>
          <w:rFonts w:ascii="Times" w:hAnsi="Times" w:cs="Times New Roman"/>
          <w:sz w:val="20"/>
          <w:szCs w:val="20"/>
        </w:rPr>
        <w:t xml:space="preserve"> Aggarwal BB. Nucler factor-kappaB: The enemy within. Cancer Cell 2004;6:203-208, and Blaylock RL. Immunoexcitatory mechanisms in glioma proliferation, invasion and occasional metastasis. Surg Neurol Inter 2013;4:15.</w:t>
      </w:r>
    </w:p>
  </w:endnote>
  <w:endnote w:id="18">
    <w:p w14:paraId="7A527D9A" w14:textId="77777777" w:rsidR="00B92A85" w:rsidRPr="00170859" w:rsidRDefault="00B92A85" w:rsidP="00B92A85">
      <w:pPr>
        <w:spacing w:after="0" w:line="240" w:lineRule="auto"/>
        <w:contextualSpacing/>
        <w:rPr>
          <w:rFonts w:ascii="Times" w:hAnsi="Times"/>
          <w:sz w:val="20"/>
          <w:szCs w:val="20"/>
        </w:rPr>
      </w:pPr>
      <w:r w:rsidRPr="00170859">
        <w:rPr>
          <w:rStyle w:val="EndnoteReference"/>
          <w:rFonts w:ascii="Times" w:hAnsi="Times" w:cs="Times New Roman"/>
          <w:sz w:val="20"/>
          <w:szCs w:val="20"/>
        </w:rPr>
        <w:endnoteRef/>
      </w:r>
      <w:r w:rsidRPr="00170859">
        <w:rPr>
          <w:rFonts w:ascii="Times" w:hAnsi="Times" w:cs="Times New Roman"/>
          <w:sz w:val="20"/>
          <w:szCs w:val="20"/>
        </w:rPr>
        <w:t xml:space="preserve"> Savransky V et al. Chronic intermittent hypoxia induces atherosclerosis. Am J Resp Crit Care Med 2007;175:1290-1297.</w:t>
      </w:r>
    </w:p>
  </w:endnote>
  <w:endnote w:id="19">
    <w:p w14:paraId="49A97D39"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https://www.fda.gov/media/137121/download</w:t>
      </w:r>
    </w:p>
  </w:endnote>
  <w:endnote w:id="20">
    <w:p w14:paraId="0635CC5A" w14:textId="77777777" w:rsidR="00B92A85" w:rsidRPr="00170859" w:rsidRDefault="00B92A85" w:rsidP="00B92A85">
      <w:pPr>
        <w:pStyle w:val="EndnoteText"/>
        <w:contextualSpacing/>
        <w:rPr>
          <w:rFonts w:ascii="Times" w:hAnsi="Times" w:cs="Times New Roman"/>
          <w:color w:val="000000" w:themeColor="text1"/>
        </w:rPr>
      </w:pPr>
      <w:r w:rsidRPr="00170859">
        <w:rPr>
          <w:rStyle w:val="EndnoteReference"/>
          <w:rFonts w:ascii="Times" w:hAnsi="Times" w:cs="Times New Roman"/>
        </w:rPr>
        <w:endnoteRef/>
      </w:r>
      <w:r w:rsidRPr="00170859">
        <w:rPr>
          <w:rFonts w:ascii="Times" w:hAnsi="Times" w:cs="Times New Roman"/>
        </w:rPr>
        <w:t xml:space="preserve"> </w:t>
      </w:r>
      <w:hyperlink r:id="rId1" w:history="1">
        <w:r w:rsidRPr="00170859">
          <w:rPr>
            <w:rStyle w:val="Hyperlink"/>
            <w:rFonts w:ascii="Times" w:hAnsi="Times" w:cs="Times New Roman"/>
            <w:color w:val="000000" w:themeColor="text1"/>
          </w:rPr>
          <w:t>https://ca.childrenshealthdefense.org/wp-content/uploads/CDE-Superintendent-Letter0from-Childrens-Health-Defense-California-Chapter.pdf</w:t>
        </w:r>
      </w:hyperlink>
    </w:p>
  </w:endnote>
  <w:endnote w:id="21">
    <w:p w14:paraId="58ED4799" w14:textId="77777777" w:rsidR="00B92A85" w:rsidRPr="00170859" w:rsidRDefault="00B92A85" w:rsidP="00B92A85">
      <w:pPr>
        <w:pStyle w:val="EndnoteText"/>
        <w:rPr>
          <w:rFonts w:ascii="Times" w:hAnsi="Times"/>
        </w:rPr>
      </w:pPr>
      <w:r w:rsidRPr="00170859">
        <w:rPr>
          <w:rStyle w:val="EndnoteReference"/>
          <w:rFonts w:ascii="Times" w:hAnsi="Times"/>
        </w:rPr>
        <w:endnoteRef/>
      </w:r>
      <w:r w:rsidRPr="00170859">
        <w:rPr>
          <w:rFonts w:ascii="Times" w:hAnsi="Times"/>
        </w:rPr>
        <w:t xml:space="preserve"> 21 U.S.C.§ S360bbb-3 (The FD&amp;C Act)</w:t>
      </w:r>
    </w:p>
  </w:endnote>
  <w:endnote w:id="22">
    <w:p w14:paraId="21E0AD8C" w14:textId="77777777" w:rsidR="00B92A85" w:rsidRPr="00170859" w:rsidRDefault="00B92A85" w:rsidP="00B92A85">
      <w:pPr>
        <w:pStyle w:val="NormalWeb"/>
        <w:spacing w:after="0" w:line="240" w:lineRule="auto"/>
        <w:contextualSpacing/>
        <w:rPr>
          <w:rFonts w:ascii="Times" w:hAnsi="Times"/>
          <w:sz w:val="20"/>
          <w:szCs w:val="20"/>
        </w:rPr>
      </w:pPr>
      <w:r w:rsidRPr="00170859">
        <w:rPr>
          <w:rStyle w:val="EndnoteReference"/>
          <w:rFonts w:ascii="Times" w:hAnsi="Times"/>
          <w:sz w:val="20"/>
          <w:szCs w:val="20"/>
        </w:rPr>
        <w:endnoteRef/>
      </w:r>
      <w:r w:rsidRPr="00170859">
        <w:rPr>
          <w:rFonts w:ascii="Times" w:hAnsi="Times"/>
          <w:sz w:val="20"/>
          <w:szCs w:val="20"/>
        </w:rPr>
        <w:t xml:space="preserve"> 21 U.S.C. § 360bbb-3(e)(1)(A) (“Section 360bbb-3”) </w:t>
      </w:r>
    </w:p>
  </w:endnote>
  <w:endnote w:id="23">
    <w:p w14:paraId="436E9C17"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C.F.R. § 50.20</w:t>
      </w:r>
    </w:p>
  </w:endnote>
  <w:endnote w:id="24">
    <w:p w14:paraId="5AE1E11C" w14:textId="77777777" w:rsidR="00B92A85" w:rsidRPr="00170859" w:rsidRDefault="00B92A85" w:rsidP="00B92A85">
      <w:pPr>
        <w:pStyle w:val="EndnoteText"/>
        <w:contextualSpacing/>
        <w:rPr>
          <w:rFonts w:ascii="Times" w:hAnsi="Times" w:cs="Times New Roman"/>
        </w:rPr>
      </w:pPr>
      <w:r w:rsidRPr="00170859">
        <w:rPr>
          <w:rStyle w:val="EndnoteReference"/>
          <w:rFonts w:ascii="Times" w:hAnsi="Times" w:cs="Times New Roman"/>
        </w:rPr>
        <w:endnoteRef/>
      </w:r>
      <w:r w:rsidRPr="00170859">
        <w:rPr>
          <w:rFonts w:ascii="Times" w:hAnsi="Times" w:cs="Times New Roman"/>
        </w:rPr>
        <w:t xml:space="preserve"> </w:t>
      </w:r>
      <w:hyperlink r:id="rId2" w:history="1">
        <w:r w:rsidRPr="00170859">
          <w:rPr>
            <w:rStyle w:val="Hyperlink"/>
            <w:rFonts w:ascii="Times" w:hAnsi="Times" w:cs="Times New Roman"/>
          </w:rPr>
          <w:t>http://www.invertedalchemy.com/2020/12/belief-is-not-medical-counter-measure.html</w:t>
        </w:r>
      </w:hyperlink>
      <w:r w:rsidRPr="00170859">
        <w:rPr>
          <w:rFonts w:ascii="Times" w:hAnsi="Times" w:cs="Times New Roman"/>
        </w:rPr>
        <w:t>, 21 C.F.R. § 50.23, 21  C.F.R. §50.20 21 C.F.R. § 50.24</w:t>
      </w:r>
    </w:p>
  </w:endnote>
  <w:endnote w:id="25">
    <w:p w14:paraId="2685D873" w14:textId="77777777" w:rsidR="00B92A85" w:rsidRPr="00170859" w:rsidRDefault="00B92A85" w:rsidP="00B92A85">
      <w:pPr>
        <w:spacing w:after="0" w:line="240" w:lineRule="auto"/>
        <w:contextualSpacing/>
        <w:rPr>
          <w:rFonts w:ascii="Times" w:eastAsia="Times New Roman" w:hAnsi="Times" w:cs="Times New Roman"/>
          <w:color w:val="000000" w:themeColor="text1"/>
          <w:sz w:val="20"/>
          <w:szCs w:val="20"/>
        </w:rPr>
      </w:pPr>
      <w:r w:rsidRPr="00170859">
        <w:rPr>
          <w:rStyle w:val="EndnoteReference"/>
          <w:rFonts w:ascii="Times" w:hAnsi="Times" w:cs="Times New Roman"/>
          <w:color w:val="000000" w:themeColor="text1"/>
          <w:sz w:val="20"/>
          <w:szCs w:val="20"/>
        </w:rPr>
        <w:endnoteRef/>
      </w:r>
      <w:r w:rsidRPr="00170859">
        <w:rPr>
          <w:rFonts w:ascii="Times" w:hAnsi="Times" w:cs="Times New Roman"/>
          <w:color w:val="000000" w:themeColor="text1"/>
          <w:sz w:val="20"/>
          <w:szCs w:val="20"/>
        </w:rPr>
        <w:t xml:space="preserve"> </w:t>
      </w:r>
      <w:r w:rsidRPr="00170859">
        <w:rPr>
          <w:rFonts w:ascii="Times" w:eastAsia="Times New Roman" w:hAnsi="Times" w:cs="Times New Roman"/>
          <w:color w:val="000000" w:themeColor="text1"/>
          <w:sz w:val="20"/>
          <w:szCs w:val="20"/>
        </w:rPr>
        <w:t xml:space="preserve">FTC Act, </w:t>
      </w:r>
      <w:r w:rsidRPr="00170859">
        <w:rPr>
          <w:rFonts w:ascii="Times" w:eastAsia="Times New Roman" w:hAnsi="Times" w:cs="Times New Roman"/>
          <w:color w:val="000000" w:themeColor="text1"/>
          <w:sz w:val="20"/>
          <w:szCs w:val="20"/>
          <w:shd w:val="clear" w:color="auto" w:fill="FFFFFF"/>
        </w:rPr>
        <w:t>15 U.S. Code § 41</w:t>
      </w:r>
    </w:p>
  </w:endnote>
  <w:endnote w:id="26">
    <w:p w14:paraId="77CD6F1E" w14:textId="77777777" w:rsidR="00B92A85" w:rsidRPr="00170859" w:rsidRDefault="00B92A85" w:rsidP="00B92A85">
      <w:pPr>
        <w:pStyle w:val="EndnoteText"/>
        <w:contextualSpacing/>
        <w:rPr>
          <w:rFonts w:ascii="Times" w:hAnsi="Times"/>
        </w:rPr>
      </w:pPr>
      <w:r w:rsidRPr="00170859">
        <w:rPr>
          <w:rStyle w:val="EndnoteReference"/>
          <w:rFonts w:ascii="Times" w:hAnsi="Times"/>
        </w:rPr>
        <w:endnoteRef/>
      </w:r>
      <w:r w:rsidRPr="00170859">
        <w:rPr>
          <w:rFonts w:ascii="Times" w:hAnsi="Times"/>
        </w:rPr>
        <w:t xml:space="preserve"> https://www.fda.gov/media/137121/download</w:t>
      </w:r>
    </w:p>
  </w:endnote>
  <w:endnote w:id="27">
    <w:p w14:paraId="1F2CCCB5" w14:textId="77777777" w:rsidR="00B92A85" w:rsidRPr="00170859" w:rsidRDefault="00B92A85" w:rsidP="00B92A85">
      <w:pPr>
        <w:spacing w:after="0" w:line="240" w:lineRule="auto"/>
        <w:contextualSpacing/>
        <w:rPr>
          <w:rFonts w:ascii="Times" w:hAnsi="Times" w:cs="Times New Roman"/>
          <w:sz w:val="20"/>
          <w:szCs w:val="20"/>
          <w:vertAlign w:val="superscript"/>
        </w:rPr>
      </w:pPr>
      <w:r w:rsidRPr="00170859">
        <w:rPr>
          <w:rStyle w:val="EndnoteReference"/>
          <w:rFonts w:ascii="Times" w:hAnsi="Times"/>
          <w:sz w:val="20"/>
          <w:szCs w:val="20"/>
        </w:rPr>
        <w:endnoteRef/>
      </w:r>
      <w:r w:rsidRPr="00170859">
        <w:rPr>
          <w:rFonts w:ascii="Times" w:hAnsi="Times"/>
          <w:sz w:val="20"/>
          <w:szCs w:val="20"/>
        </w:rPr>
        <w:t xml:space="preserve"> </w:t>
      </w:r>
      <w:r w:rsidRPr="00170859">
        <w:rPr>
          <w:rFonts w:ascii="Times" w:hAnsi="Times" w:cs="Times New Roman"/>
          <w:sz w:val="20"/>
          <w:szCs w:val="20"/>
        </w:rPr>
        <w:t xml:space="preserve">Russell Blaylock, Id. (quoting Shehade H et al. Cutting edge: Hypoxia-Inducible Factor-1 negatively regulates Th1 function. J Immunol 2015;195:1372-1376.  See also:  Westendorf AM et al. Hypoxia enhances immunosuppression by inhibiting CD4+ effector T cell function and promoting Treg activity. Cell Physiol Biochem 2017;41:1271-84.  See further:  Sceneay J et al. Hypoxia-driven immunosuppression contributes to the pre-metastatic niche. Oncoimmunology 2013;2:1 e22355. </w:t>
      </w:r>
    </w:p>
    <w:p w14:paraId="14B60A82" w14:textId="77777777" w:rsidR="00B92A85" w:rsidRPr="00170859" w:rsidRDefault="00B92A85" w:rsidP="00B92A85">
      <w:pPr>
        <w:pStyle w:val="EndnoteText"/>
        <w:rPr>
          <w:rFonts w:ascii="Times" w:hAnsi="Tim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EA856" w14:textId="77777777" w:rsidR="00991687" w:rsidRDefault="00991687" w:rsidP="00B92A85">
      <w:pPr>
        <w:spacing w:after="0" w:line="240" w:lineRule="auto"/>
      </w:pPr>
      <w:r>
        <w:separator/>
      </w:r>
    </w:p>
  </w:footnote>
  <w:footnote w:type="continuationSeparator" w:id="0">
    <w:p w14:paraId="49943CA9" w14:textId="77777777" w:rsidR="00991687" w:rsidRDefault="00991687" w:rsidP="00B92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85"/>
    <w:rsid w:val="0002582D"/>
    <w:rsid w:val="00047181"/>
    <w:rsid w:val="00057C99"/>
    <w:rsid w:val="0006187B"/>
    <w:rsid w:val="000736AF"/>
    <w:rsid w:val="00117D9A"/>
    <w:rsid w:val="0012116A"/>
    <w:rsid w:val="00170859"/>
    <w:rsid w:val="002C7E4C"/>
    <w:rsid w:val="003D26FF"/>
    <w:rsid w:val="00434CDD"/>
    <w:rsid w:val="0049333B"/>
    <w:rsid w:val="005071E7"/>
    <w:rsid w:val="00686762"/>
    <w:rsid w:val="007629AE"/>
    <w:rsid w:val="007E31E9"/>
    <w:rsid w:val="00865D61"/>
    <w:rsid w:val="008877E7"/>
    <w:rsid w:val="008D2E52"/>
    <w:rsid w:val="00910C55"/>
    <w:rsid w:val="009117C6"/>
    <w:rsid w:val="00973F0F"/>
    <w:rsid w:val="00991687"/>
    <w:rsid w:val="009E433B"/>
    <w:rsid w:val="00B92A85"/>
    <w:rsid w:val="00BB314D"/>
    <w:rsid w:val="00C02D54"/>
    <w:rsid w:val="00C12CE8"/>
    <w:rsid w:val="00C624BB"/>
    <w:rsid w:val="00C8623E"/>
    <w:rsid w:val="00CB6CE6"/>
    <w:rsid w:val="00CC39BF"/>
    <w:rsid w:val="00E027D4"/>
    <w:rsid w:val="00E21032"/>
    <w:rsid w:val="00E233D2"/>
    <w:rsid w:val="00E32815"/>
    <w:rsid w:val="00E37AA0"/>
    <w:rsid w:val="00EA09E1"/>
    <w:rsid w:val="00EA21CD"/>
    <w:rsid w:val="00F26124"/>
    <w:rsid w:val="00F9317F"/>
    <w:rsid w:val="00FB0A50"/>
    <w:rsid w:val="00FE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D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A85"/>
    <w:rPr>
      <w:rFonts w:ascii="Times New Roman" w:hAnsi="Times New Roman" w:cs="Times New Roman"/>
      <w:sz w:val="24"/>
      <w:szCs w:val="24"/>
    </w:rPr>
  </w:style>
  <w:style w:type="character" w:styleId="Hyperlink">
    <w:name w:val="Hyperlink"/>
    <w:basedOn w:val="DefaultParagraphFont"/>
    <w:uiPriority w:val="99"/>
    <w:unhideWhenUsed/>
    <w:rsid w:val="00B92A85"/>
    <w:rPr>
      <w:color w:val="0563C1" w:themeColor="hyperlink"/>
      <w:u w:val="single"/>
    </w:rPr>
  </w:style>
  <w:style w:type="paragraph" w:styleId="EndnoteText">
    <w:name w:val="endnote text"/>
    <w:basedOn w:val="Normal"/>
    <w:link w:val="EndnoteTextChar"/>
    <w:uiPriority w:val="99"/>
    <w:semiHidden/>
    <w:unhideWhenUsed/>
    <w:rsid w:val="00B92A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A85"/>
    <w:rPr>
      <w:sz w:val="20"/>
      <w:szCs w:val="20"/>
    </w:rPr>
  </w:style>
  <w:style w:type="character" w:styleId="EndnoteReference">
    <w:name w:val="endnote reference"/>
    <w:basedOn w:val="DefaultParagraphFont"/>
    <w:uiPriority w:val="99"/>
    <w:semiHidden/>
    <w:unhideWhenUsed/>
    <w:rsid w:val="00B92A85"/>
    <w:rPr>
      <w:vertAlign w:val="superscript"/>
    </w:rPr>
  </w:style>
  <w:style w:type="paragraph" w:styleId="BalloonText">
    <w:name w:val="Balloon Text"/>
    <w:basedOn w:val="Normal"/>
    <w:link w:val="BalloonTextChar"/>
    <w:uiPriority w:val="99"/>
    <w:semiHidden/>
    <w:unhideWhenUsed/>
    <w:rsid w:val="00E328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8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A85"/>
    <w:rPr>
      <w:rFonts w:ascii="Times New Roman" w:hAnsi="Times New Roman" w:cs="Times New Roman"/>
      <w:sz w:val="24"/>
      <w:szCs w:val="24"/>
    </w:rPr>
  </w:style>
  <w:style w:type="character" w:styleId="Hyperlink">
    <w:name w:val="Hyperlink"/>
    <w:basedOn w:val="DefaultParagraphFont"/>
    <w:uiPriority w:val="99"/>
    <w:unhideWhenUsed/>
    <w:rsid w:val="00B92A85"/>
    <w:rPr>
      <w:color w:val="0563C1" w:themeColor="hyperlink"/>
      <w:u w:val="single"/>
    </w:rPr>
  </w:style>
  <w:style w:type="paragraph" w:styleId="EndnoteText">
    <w:name w:val="endnote text"/>
    <w:basedOn w:val="Normal"/>
    <w:link w:val="EndnoteTextChar"/>
    <w:uiPriority w:val="99"/>
    <w:semiHidden/>
    <w:unhideWhenUsed/>
    <w:rsid w:val="00B92A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A85"/>
    <w:rPr>
      <w:sz w:val="20"/>
      <w:szCs w:val="20"/>
    </w:rPr>
  </w:style>
  <w:style w:type="character" w:styleId="EndnoteReference">
    <w:name w:val="endnote reference"/>
    <w:basedOn w:val="DefaultParagraphFont"/>
    <w:uiPriority w:val="99"/>
    <w:semiHidden/>
    <w:unhideWhenUsed/>
    <w:rsid w:val="00B92A85"/>
    <w:rPr>
      <w:vertAlign w:val="superscript"/>
    </w:rPr>
  </w:style>
  <w:style w:type="paragraph" w:styleId="BalloonText">
    <w:name w:val="Balloon Text"/>
    <w:basedOn w:val="Normal"/>
    <w:link w:val="BalloonTextChar"/>
    <w:uiPriority w:val="99"/>
    <w:semiHidden/>
    <w:unhideWhenUsed/>
    <w:rsid w:val="00E328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8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ca.childrenshealthdefense.org/wp-content/uploads/CDE-Superintendent-Letter0from-Childrens-Health-Defense-California-Chapter.pdf" TargetMode="External"/><Relationship Id="rId2" Type="http://schemas.openxmlformats.org/officeDocument/2006/relationships/hyperlink" Target="http://www.invertedalchemy.com/2020/12/belief-is-not-medical-counter-meas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552D-3996-1741-A3D3-21F65842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10164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Murray Sabrin</cp:lastModifiedBy>
  <cp:revision>2</cp:revision>
  <cp:lastPrinted>2021-06-03T14:33:00Z</cp:lastPrinted>
  <dcterms:created xsi:type="dcterms:W3CDTF">2021-06-03T15:49:00Z</dcterms:created>
  <dcterms:modified xsi:type="dcterms:W3CDTF">2021-06-03T15:49:00Z</dcterms:modified>
</cp:coreProperties>
</file>